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2D66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2D663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60745" w:rsidRPr="00263035" w:rsidRDefault="002D6633" w:rsidP="002D663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2D663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2D663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9334E3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 года № 56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2D6633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 w:rsidR="002D6633">
        <w:rPr>
          <w:rFonts w:ascii="Times New Roman" w:hAnsi="Times New Roman" w:cs="Times New Roman"/>
          <w:bCs/>
          <w:sz w:val="28"/>
          <w:szCs w:val="28"/>
        </w:rPr>
        <w:t xml:space="preserve">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9963F9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</w:t>
      </w:r>
      <w:r w:rsidR="002D6633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63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D663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Формированию, ведению, а также опубликованию П</w:t>
      </w:r>
      <w:r w:rsidR="002D6633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D66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63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2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2D6633">
        <w:rPr>
          <w:rFonts w:ascii="Times New Roman" w:hAnsi="Times New Roman" w:cs="Times New Roman"/>
          <w:bCs/>
          <w:sz w:val="28"/>
          <w:szCs w:val="28"/>
        </w:rPr>
        <w:t xml:space="preserve"> от 23.03.2017 года № 35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8"/>
        <w:gridCol w:w="3312"/>
        <w:gridCol w:w="3346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2D6633" w:rsidP="002D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2D663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Верхнекарачанского</w:t>
      </w:r>
      <w:proofErr w:type="spellEnd"/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9334E3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24.04.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№56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ПЕРЕЧНЯ МУНИЦИПАЛ</w:t>
      </w:r>
      <w:r w:rsidR="002D6633">
        <w:rPr>
          <w:rFonts w:ascii="Times New Roman" w:hAnsi="Times New Roman" w:cs="Times New Roman"/>
          <w:bCs/>
          <w:sz w:val="28"/>
          <w:szCs w:val="28"/>
        </w:rPr>
        <w:t>ЬНОГО ИМУЩЕСТВА ВЕРХНЕКАРАЧАНСКОГО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Верхнекарачанскому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Верхнекарачанском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2D66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D6633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</w:t>
      </w:r>
      <w:r w:rsidR="002D6633">
        <w:rPr>
          <w:rFonts w:ascii="Times New Roman" w:hAnsi="Times New Roman" w:cs="Times New Roman"/>
          <w:sz w:val="28"/>
          <w:szCs w:val="28"/>
        </w:rPr>
        <w:t xml:space="preserve">ень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</w:t>
      </w:r>
      <w:r w:rsidR="002D6633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коллегиального</w:t>
      </w:r>
      <w:r w:rsidR="002D6633">
        <w:rPr>
          <w:rFonts w:ascii="Times New Roman" w:hAnsi="Times New Roman" w:cs="Times New Roman"/>
          <w:sz w:val="28"/>
          <w:szCs w:val="28"/>
        </w:rPr>
        <w:t xml:space="preserve"> органа в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 Све</w:t>
      </w:r>
      <w:r w:rsidR="002D6633">
        <w:rPr>
          <w:rFonts w:ascii="Times New Roman" w:hAnsi="Times New Roman" w:cs="Times New Roman"/>
          <w:sz w:val="28"/>
          <w:szCs w:val="28"/>
        </w:rPr>
        <w:t xml:space="preserve">дения о муниципальном имуществе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2D6633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9334E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Верхнекарачанского</w:t>
      </w:r>
      <w:proofErr w:type="spellEnd"/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9334E3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24.04.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№56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 МУНИЦИПАЛЬНОГО</w:t>
      </w:r>
      <w:r w:rsidR="009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ВЕРХНЕКАРАЧАНСКОГО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9334E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9334E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«24»апреля 2019 г. № 56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</w:t>
      </w:r>
      <w:r w:rsidR="009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ВЕРХНЕКАРАЧАНСКОГО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</w:t>
      </w:r>
      <w:r w:rsidR="0099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которых осуществляет </w:t>
      </w:r>
      <w:bookmarkStart w:id="7" w:name="_GoBack"/>
      <w:bookmarkEnd w:id="7"/>
      <w:r w:rsidR="0099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0" w:rsidRDefault="007F0F70" w:rsidP="00F3264B">
      <w:pPr>
        <w:spacing w:after="0" w:line="240" w:lineRule="auto"/>
      </w:pPr>
      <w:r>
        <w:separator/>
      </w:r>
    </w:p>
  </w:endnote>
  <w:endnote w:type="continuationSeparator" w:id="0">
    <w:p w:rsidR="007F0F70" w:rsidRDefault="007F0F7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0" w:rsidRDefault="007F0F70" w:rsidP="00F3264B">
      <w:pPr>
        <w:spacing w:after="0" w:line="240" w:lineRule="auto"/>
      </w:pPr>
      <w:r>
        <w:separator/>
      </w:r>
    </w:p>
  </w:footnote>
  <w:footnote w:type="continuationSeparator" w:id="0">
    <w:p w:rsidR="007F0F70" w:rsidRDefault="007F0F70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F9">
          <w:rPr>
            <w:noProof/>
          </w:rPr>
          <w:t>16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2138"/>
    <w:rsid w:val="001A541B"/>
    <w:rsid w:val="00263035"/>
    <w:rsid w:val="002A5EAF"/>
    <w:rsid w:val="002C5EDB"/>
    <w:rsid w:val="002C6C17"/>
    <w:rsid w:val="002D6633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0F70"/>
    <w:rsid w:val="007F3B6E"/>
    <w:rsid w:val="0081759C"/>
    <w:rsid w:val="008339FB"/>
    <w:rsid w:val="008433FB"/>
    <w:rsid w:val="00863690"/>
    <w:rsid w:val="00877A89"/>
    <w:rsid w:val="00917DE1"/>
    <w:rsid w:val="009334E3"/>
    <w:rsid w:val="009801D4"/>
    <w:rsid w:val="00983873"/>
    <w:rsid w:val="009963F9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7203-F0B6-453A-9B3F-19EF9B7A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16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17</cp:revision>
  <cp:lastPrinted>2001-12-31T21:04:00Z</cp:lastPrinted>
  <dcterms:created xsi:type="dcterms:W3CDTF">2019-03-04T05:26:00Z</dcterms:created>
  <dcterms:modified xsi:type="dcterms:W3CDTF">2001-12-31T21:05:00Z</dcterms:modified>
</cp:coreProperties>
</file>