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7" w:rsidRPr="00723647" w:rsidRDefault="00723647" w:rsidP="00723647">
      <w:pPr>
        <w:pStyle w:val="a3"/>
        <w:jc w:val="center"/>
        <w:rPr>
          <w:sz w:val="28"/>
          <w:szCs w:val="28"/>
        </w:rPr>
      </w:pPr>
      <w:r w:rsidRPr="00723647">
        <w:rPr>
          <w:rStyle w:val="a4"/>
          <w:sz w:val="28"/>
          <w:szCs w:val="28"/>
        </w:rPr>
        <w:t>Уважаемые депутаты, приглашенные и жители поселения!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proofErr w:type="gramStart"/>
      <w:r w:rsidRPr="00723647">
        <w:rPr>
          <w:sz w:val="28"/>
          <w:szCs w:val="28"/>
        </w:rPr>
        <w:t>В соответствии c действующим федеральным законодательством —  главы администраций сельских поселений ежегодно  отчитываются перед депутатами о проделанной работе по исполнению бюджета поселения за прошедший год и определяют основные направления работы на очередной финансовый год, исходя из утвержденного Советом  народных депутатов бюджета.</w:t>
      </w:r>
      <w:proofErr w:type="gramEnd"/>
      <w:r w:rsidRPr="00723647">
        <w:rPr>
          <w:sz w:val="28"/>
          <w:szCs w:val="28"/>
        </w:rPr>
        <w:t xml:space="preserve"> Такие отчеты в нашем поселении проводятся ежегодно и сегодня, вашему вниманию представляется отчет </w:t>
      </w:r>
      <w:r w:rsidR="003F4510">
        <w:rPr>
          <w:sz w:val="28"/>
          <w:szCs w:val="28"/>
        </w:rPr>
        <w:t xml:space="preserve">главы поселения о проделанной работе за 2019 год и о перспективах развития поселения на 2020 год. </w:t>
      </w:r>
      <w:r w:rsidRPr="00723647">
        <w:rPr>
          <w:sz w:val="28"/>
          <w:szCs w:val="28"/>
        </w:rPr>
        <w:t xml:space="preserve">Работа администрации </w:t>
      </w:r>
      <w:proofErr w:type="spellStart"/>
      <w:r w:rsidRPr="00723647">
        <w:rPr>
          <w:sz w:val="28"/>
          <w:szCs w:val="28"/>
        </w:rPr>
        <w:t>Верхнекарачанского</w:t>
      </w:r>
      <w:proofErr w:type="spellEnd"/>
      <w:r w:rsidRPr="00723647">
        <w:rPr>
          <w:sz w:val="28"/>
          <w:szCs w:val="28"/>
        </w:rPr>
        <w:t xml:space="preserve"> сельского поселения осуществляется в соответствии со 131 Законом и Уставом </w:t>
      </w:r>
      <w:proofErr w:type="spellStart"/>
      <w:r w:rsidRPr="00723647">
        <w:rPr>
          <w:sz w:val="28"/>
          <w:szCs w:val="28"/>
        </w:rPr>
        <w:t>Верхнекарачанского</w:t>
      </w:r>
      <w:proofErr w:type="spellEnd"/>
      <w:r w:rsidRPr="00723647">
        <w:rPr>
          <w:sz w:val="28"/>
          <w:szCs w:val="28"/>
        </w:rPr>
        <w:t xml:space="preserve"> сельского поселения.</w:t>
      </w:r>
    </w:p>
    <w:p w:rsidR="003F4510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Остался позади очередной год.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 Население на 01.01.2020 г.: 2861 (-34)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с. Верхний Карачан-1849  (-22)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. Средний Карачан – 1009 (-12)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3647">
        <w:rPr>
          <w:rFonts w:ascii="Times New Roman" w:hAnsi="Times New Roman" w:cs="Times New Roman"/>
          <w:sz w:val="28"/>
          <w:szCs w:val="28"/>
          <w:u w:val="single"/>
        </w:rPr>
        <w:t>пос. 2-ая Дмитриевка – 3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ИТОГО: 2861 человека в т. ч.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Мужчин- 1391 (-22),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 младше трудоспособного возраста – 499 (+17), в т. ч. до 6 лет – 166 (+26);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Трудоспособного населения – 1556 (+40),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Старше трудоспособного – 806 (-108).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Родилось- 16 (-9), умерло – 47(+2), прибыло – 87 (-49), убыло – 90(-16).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Число пенсионеров – 876 (-38) человек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Число зарегистрированных безработных – 17(+1)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Общее количество действующих домовладений – 1187(+7)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За 2019 год проведено 10 заседаний Совета народных депутатов: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1)О внесении изменений в муниципальную программу « Развитие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годы»;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2)Об утверждении бюджета и о  внесении изменений в бюджет;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lastRenderedPageBreak/>
        <w:t>3)О внесении изменений в Устав;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4)О внесении изменений в программу  комплексного развития транспортной  инфраструктуры поселения;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5) об утверждении структуры администрации, о внесении изменений в реестр должностей муниципальной службы и много других вопросов.  Всего на сессиях рассмотрено 26 вопросов, из них принято нормативно правовых - 22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Бюджет на 2019 год был утверждён 27.12.2018 г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Было принято: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 163 постановлений администрации, 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5 постановлений главы поселения, 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75 распоряжений главы администрации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Проведено 5 публичных слушаний (О внесении изменений в  ген. план по установлению границы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. Средний Карачан.  Об исполнении бюджета за 2018 год. О внесении изменений в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ген план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в части расположения полигона ТКО.  Об изменении вида разрешенного использования земельного участка.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О бюджете на 2020 год.)</w:t>
      </w:r>
      <w:proofErr w:type="gramEnd"/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За 2019 год поступило 12 письменных обращений граждан (+8), 20 человек принято в ходе личного приёма (-22). На все обращения ответы даны  в срок.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За 2019 год  установлено 436 фонарей,  всего фонарей- 471 в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>. фонарная линия 35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СОШ- 274 (-15), в т. ч  наших карачанских-226 (-7)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Среднекарачанская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ООШ- 67 учеников (-4) 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Верхнекарачанский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д/с – 92 детей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+7)</w:t>
      </w:r>
    </w:p>
    <w:p w:rsidR="00723647" w:rsidRPr="00723647" w:rsidRDefault="00723647" w:rsidP="00723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На территории поселения имеется 27 торговых точек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-2 :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Канцтовары, киоск на ул. Советская)</w:t>
      </w:r>
      <w:proofErr w:type="gramEnd"/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Формирование и утверждение бюджета осуществляется до начала каждого календарного года, бюджет 2019 года был утвержден Советом народных  депутатов 27 декабря 2018 года.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 В соответствии с утвержденным бюджетом его доходная часть на 2019 год была утверждена Советом народных депутатов в сумме  6 мил. 787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lastRenderedPageBreak/>
        <w:t xml:space="preserve"> </w:t>
      </w:r>
      <w:r w:rsidRPr="00723647">
        <w:rPr>
          <w:rStyle w:val="a4"/>
          <w:sz w:val="28"/>
          <w:szCs w:val="28"/>
        </w:rPr>
        <w:t xml:space="preserve">Поступления собственных доходов в 2019 году </w:t>
      </w:r>
      <w:r w:rsidRPr="00723647">
        <w:rPr>
          <w:sz w:val="28"/>
          <w:szCs w:val="28"/>
        </w:rPr>
        <w:t xml:space="preserve">были запланированы в сумме 2 млн.758 тыс.  рублей при фактическом исполнении бюджета по собственным доходам в 2019 году 2 млн.769 тыс. руб. 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Собственные доходы складывались из следующих поступлений: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 налог на доходы физических лиц- 172,0 тыс. руб. Основными плательщиками данного налога являются организации, расположенные на территории поселения.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-налог на имущество физических лиц –367,5 тыс. руб.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-земельный налог - 2 мил.001 тыс. руб. (с организаций- 1мил. 170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 xml:space="preserve">., с физических лиц- 831,0 </w:t>
      </w:r>
      <w:proofErr w:type="spellStart"/>
      <w:r w:rsidRPr="00723647">
        <w:rPr>
          <w:sz w:val="28"/>
          <w:szCs w:val="28"/>
        </w:rPr>
        <w:t>тыс.руб</w:t>
      </w:r>
      <w:proofErr w:type="spellEnd"/>
      <w:r w:rsidRPr="00723647">
        <w:rPr>
          <w:sz w:val="28"/>
          <w:szCs w:val="28"/>
        </w:rPr>
        <w:t>.)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 арендная плата за землю - 47,4 тыс. руб.  Плательщиком аренды за землю является:   Зыков А.Н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-единый сельскохозяйственный налог – 118,2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-госпошлина – 12,9 тыс. руб.;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Кроме того поступили: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 -Субвенции на осуществление первичного воинского учёта на территориях, где отсутствуют военные комиссариаты (ВУС) -196,9 тыс. руб.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 Дотации на выравнивание бюджетной обеспеченности-1мил.225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 Дотации на поддержку мер по обеспечению сбалансированности бюджета – 954,2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 Межбюджетные трансферты на осуществление части полномочий – 4 мил. 956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В течение 2019 года администрация поселения работала над пополнением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</w:t>
      </w:r>
      <w:proofErr w:type="gramStart"/>
      <w:r w:rsidRPr="00723647">
        <w:rPr>
          <w:sz w:val="28"/>
          <w:szCs w:val="28"/>
        </w:rPr>
        <w:t>(Недоимка на 31.12.2018 года составила:</w:t>
      </w:r>
      <w:proofErr w:type="gramEnd"/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 земельный налог – 290,6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налог на имущество – 100,8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транспортный налог – 1 мил. 348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lastRenderedPageBreak/>
        <w:t>На 15.01.2020 года недоимка составила: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Земельный налог –  213,0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Налог на имущество – 78,5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Транспортный налог – 1 мил. 008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В целом исполнение доходной части бюджета в 2019 году составило 10 млн.102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Поступившие доходы позволили профинансировать следующие расходы бюджета: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-на осуществление первичного воинского учёта направлено 196,9 тыс. руб. или 100% к плану;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-по культуре - направлено 2 млн. 451 тыс. руб. или 100% к плану;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-по обеспечению деятельности администрации - направлено 2 млн. 645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 или 100% к плану;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 xml:space="preserve">-по благоустройству - направлено 315,5 </w:t>
      </w:r>
      <w:proofErr w:type="spellStart"/>
      <w:r w:rsidRPr="00723647">
        <w:rPr>
          <w:sz w:val="28"/>
          <w:szCs w:val="28"/>
        </w:rPr>
        <w:t>тыс</w:t>
      </w:r>
      <w:proofErr w:type="gramStart"/>
      <w:r w:rsidRPr="00723647">
        <w:rPr>
          <w:sz w:val="28"/>
          <w:szCs w:val="28"/>
        </w:rPr>
        <w:t>.р</w:t>
      </w:r>
      <w:proofErr w:type="gramEnd"/>
      <w:r w:rsidRPr="00723647">
        <w:rPr>
          <w:sz w:val="28"/>
          <w:szCs w:val="28"/>
        </w:rPr>
        <w:t>уб</w:t>
      </w:r>
      <w:proofErr w:type="spellEnd"/>
      <w:r w:rsidRPr="00723647">
        <w:rPr>
          <w:sz w:val="28"/>
          <w:szCs w:val="28"/>
        </w:rPr>
        <w:t>. или 100% к плану;</w:t>
      </w:r>
    </w:p>
    <w:p w:rsidR="00723647" w:rsidRPr="00723647" w:rsidRDefault="00723647" w:rsidP="00723647">
      <w:pPr>
        <w:pStyle w:val="a3"/>
        <w:jc w:val="both"/>
        <w:rPr>
          <w:sz w:val="28"/>
          <w:szCs w:val="28"/>
        </w:rPr>
      </w:pPr>
      <w:r w:rsidRPr="00723647">
        <w:rPr>
          <w:sz w:val="28"/>
          <w:szCs w:val="28"/>
        </w:rPr>
        <w:t>-по безвозмездным перечислениям (полномочиям)- направлено 55,1 тыс. руб. или 100% к плану;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На территории поселения расположены и функционируют следующие организации: Новохоперск « Агро-Инвест»,  Грибановский с/з, КФХ Зыков, КФХ Лыков,  2 школ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Среднекарачанская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, детский сад</w:t>
      </w:r>
      <w:r w:rsidR="003F4510">
        <w:rPr>
          <w:rFonts w:ascii="Times New Roman" w:hAnsi="Times New Roman" w:cs="Times New Roman"/>
          <w:sz w:val="28"/>
          <w:szCs w:val="28"/>
        </w:rPr>
        <w:t xml:space="preserve"> </w:t>
      </w:r>
      <w:r w:rsidRPr="00723647">
        <w:rPr>
          <w:rFonts w:ascii="Times New Roman" w:hAnsi="Times New Roman" w:cs="Times New Roman"/>
          <w:sz w:val="28"/>
          <w:szCs w:val="28"/>
        </w:rPr>
        <w:t>,2 библиотеки,2 почтовых отделения , 2 Дома культуры, 1 врачебная амбулатория, 1 ФАП, 27 торговых точек</w:t>
      </w:r>
      <w:r w:rsidR="003F4510">
        <w:rPr>
          <w:rFonts w:ascii="Times New Roman" w:hAnsi="Times New Roman" w:cs="Times New Roman"/>
          <w:sz w:val="28"/>
          <w:szCs w:val="28"/>
        </w:rPr>
        <w:t xml:space="preserve"> </w:t>
      </w:r>
      <w:r w:rsidRPr="00723647">
        <w:rPr>
          <w:rFonts w:ascii="Times New Roman" w:hAnsi="Times New Roman" w:cs="Times New Roman"/>
          <w:sz w:val="28"/>
          <w:szCs w:val="28"/>
        </w:rPr>
        <w:t>2 аптечных пункта, столовая ,  пожарная часть,2 павильона  « Ритуальные услуги» . Сбербанк.</w:t>
      </w:r>
    </w:p>
    <w:p w:rsidR="00EA7446" w:rsidRPr="00723647" w:rsidRDefault="003F4510" w:rsidP="00EA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увидите</w:t>
      </w:r>
      <w:r w:rsidR="00EA7446" w:rsidRPr="00723647">
        <w:rPr>
          <w:rFonts w:ascii="Times New Roman" w:hAnsi="Times New Roman" w:cs="Times New Roman"/>
          <w:sz w:val="28"/>
          <w:szCs w:val="28"/>
        </w:rPr>
        <w:t>, что не один объект соц. сферы не сократился.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ЗДРАВОХРАНЕНИЕ:</w:t>
      </w:r>
    </w:p>
    <w:p w:rsidR="00EA7446" w:rsidRPr="00723647" w:rsidRDefault="00EA7446" w:rsidP="003F4510">
      <w:pPr>
        <w:jc w:val="both"/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 В нашем сельском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предоставлено врачебной амбулаторией  Верхний Карачан и Фельдшерско-акушерским пунктом Средний Карачан</w:t>
      </w:r>
      <w:r w:rsidR="003F4510">
        <w:rPr>
          <w:rFonts w:ascii="Times New Roman" w:hAnsi="Times New Roman" w:cs="Times New Roman"/>
          <w:sz w:val="28"/>
          <w:szCs w:val="28"/>
        </w:rPr>
        <w:t>. М</w:t>
      </w:r>
      <w:r w:rsidRPr="00723647">
        <w:rPr>
          <w:rFonts w:ascii="Times New Roman" w:hAnsi="Times New Roman" w:cs="Times New Roman"/>
          <w:sz w:val="28"/>
          <w:szCs w:val="28"/>
        </w:rPr>
        <w:t xml:space="preserve">ашина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флюроография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2 раза в год для осмотра населения. В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Верхнекарачанской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амбулатории работает аптечный пункт, имеются все необходимые препараты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В 2019 году амбулаторию с. Верхний Карачан подключили к модульной котельной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ОБРАЗОВАНИЕ:  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находятся 2 школы –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Среднекарачанская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ОШ, дошкольное учреждение – детский сад.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Верхнекарачанской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школе обучаются 274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-15) учащихся, 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Среднекарачанская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школа- 67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-7) учащихся,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Детский сад  - 92 (+7)  детей.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Верхнекарачанской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СОШ была построена модульная котельная, которая отапливает 3 объекта: школа, амбулатория, спортивный зал.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ПРЕДПРИНИМАТЕЛЬСТВО: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 развито предпринимательство на уровне района. На территории с. Верхний Карачан  действуют 27 торговых точек, крупная торговая сеть « Магнит»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« Пятерочка», « Красное –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Белое».В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Среднем Карачане  имеется продовольственный, хозяйственный магазины, 1 раз в неделю – выездные лотки.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 На территории поселения оно проходит круглый год. На эти цели было направлен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         руб., в том числе и на проектно-сметную документацию строительство сквера с. Верхний Карачан., на ремонт и содержание дорог. Ремонту  дорог уделяется особое внимание. Так в 2019 году были заключены договора на ремонт дорог. Было произведено 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 дороги 740 метров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на сумму 632 тыс. руб. по ул. Восточная с. Верхний Карачан. Положено полотно асфальта по ул. Заливная -759 метров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на сумму 2 531 тыс.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.В с. Средний Карачан  по ул. Победы произвели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дороги, протяженностью 800 метров, на сумму 2 034 040 тыс. руб.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На территории  находятся 2 кладбища в надлежащем состоянии. Постоянно  производится уборка и  вывоз мусора к прилегающей территории кладбища.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С целью поддержки определенности  населения , ежегодно  заключаются  договора « О совместной деятельности по организации проведения  общественно оплачиваемых работ « между  Центром занятостью и администрацией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2019 году по договору был принят 1 человек  по уборке территории и было затрачено – 29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>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освещения улиц было до 2019 года одним из основных вопросов местного значения  и вызывало всегда  множество нареканий . Но в 2019 году этот вопрос был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закрыт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вступили в областную программу  «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Модорнизация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</w:t>
      </w:r>
      <w:r w:rsidR="002B17CA">
        <w:rPr>
          <w:rFonts w:ascii="Times New Roman" w:hAnsi="Times New Roman" w:cs="Times New Roman"/>
          <w:sz w:val="28"/>
          <w:szCs w:val="28"/>
        </w:rPr>
        <w:t>гского</w:t>
      </w:r>
      <w:proofErr w:type="spellEnd"/>
      <w:r w:rsidR="002B17CA">
        <w:rPr>
          <w:rFonts w:ascii="Times New Roman" w:hAnsi="Times New Roman" w:cs="Times New Roman"/>
          <w:sz w:val="28"/>
          <w:szCs w:val="28"/>
        </w:rPr>
        <w:t xml:space="preserve"> сельского поселения».   </w:t>
      </w:r>
      <w:r w:rsidRPr="00723647">
        <w:rPr>
          <w:rFonts w:ascii="Times New Roman" w:hAnsi="Times New Roman" w:cs="Times New Roman"/>
          <w:sz w:val="28"/>
          <w:szCs w:val="28"/>
        </w:rPr>
        <w:t>Были выделены субсидии и установлено 436</w:t>
      </w:r>
      <w:r w:rsidR="00723647" w:rsidRPr="00723647">
        <w:rPr>
          <w:rFonts w:ascii="Times New Roman" w:hAnsi="Times New Roman" w:cs="Times New Roman"/>
          <w:sz w:val="28"/>
          <w:szCs w:val="28"/>
        </w:rPr>
        <w:t xml:space="preserve"> </w:t>
      </w:r>
      <w:r w:rsidRPr="00723647">
        <w:rPr>
          <w:rFonts w:ascii="Times New Roman" w:hAnsi="Times New Roman" w:cs="Times New Roman"/>
          <w:sz w:val="28"/>
          <w:szCs w:val="28"/>
        </w:rPr>
        <w:t>светиль</w:t>
      </w:r>
      <w:r w:rsidR="002B17CA">
        <w:rPr>
          <w:rFonts w:ascii="Times New Roman" w:hAnsi="Times New Roman" w:cs="Times New Roman"/>
          <w:sz w:val="28"/>
          <w:szCs w:val="28"/>
        </w:rPr>
        <w:t>ников. Всего в поселении  575</w:t>
      </w:r>
      <w:r w:rsidRPr="00723647">
        <w:rPr>
          <w:rFonts w:ascii="Times New Roman" w:hAnsi="Times New Roman" w:cs="Times New Roman"/>
          <w:sz w:val="28"/>
          <w:szCs w:val="28"/>
        </w:rPr>
        <w:t>светильников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Уличное освещение охвачено на 100 %.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Ежегодно ко Дню Победы проводим косметический ремонт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>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В 2019 году была очищена территория под строительство  сквера села Верхний Карачан от сорн</w:t>
      </w:r>
      <w:r w:rsidR="003F4510">
        <w:rPr>
          <w:rFonts w:ascii="Times New Roman" w:hAnsi="Times New Roman" w:cs="Times New Roman"/>
          <w:sz w:val="28"/>
          <w:szCs w:val="28"/>
        </w:rPr>
        <w:t>ой растительности кустарников и</w:t>
      </w:r>
      <w:r w:rsidRPr="00723647">
        <w:rPr>
          <w:rFonts w:ascii="Times New Roman" w:hAnsi="Times New Roman" w:cs="Times New Roman"/>
          <w:sz w:val="28"/>
          <w:szCs w:val="28"/>
        </w:rPr>
        <w:t xml:space="preserve"> сухостоя. Была оказана огромная помощь  со стороны районной администрации лично Алексеем Ивановичем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Рыжениным</w:t>
      </w:r>
      <w:proofErr w:type="spellEnd"/>
      <w:r w:rsidRPr="00723647">
        <w:rPr>
          <w:rFonts w:ascii="Times New Roman" w:hAnsi="Times New Roman" w:cs="Times New Roman"/>
          <w:sz w:val="28"/>
          <w:szCs w:val="28"/>
        </w:rPr>
        <w:t>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 В 2019 году жителями села были заключены договора  </w:t>
      </w:r>
      <w:r w:rsidR="002B17CA">
        <w:rPr>
          <w:rFonts w:ascii="Times New Roman" w:hAnsi="Times New Roman" w:cs="Times New Roman"/>
          <w:sz w:val="28"/>
          <w:szCs w:val="28"/>
        </w:rPr>
        <w:t xml:space="preserve">с МКУК коммунальщик на вывоз ТБО,  </w:t>
      </w:r>
      <w:r w:rsidRPr="00723647">
        <w:rPr>
          <w:rFonts w:ascii="Times New Roman" w:hAnsi="Times New Roman" w:cs="Times New Roman"/>
          <w:sz w:val="28"/>
          <w:szCs w:val="28"/>
        </w:rPr>
        <w:t>но это</w:t>
      </w:r>
      <w:r w:rsidR="002B17CA">
        <w:rPr>
          <w:rFonts w:ascii="Times New Roman" w:hAnsi="Times New Roman" w:cs="Times New Roman"/>
          <w:sz w:val="28"/>
          <w:szCs w:val="28"/>
        </w:rPr>
        <w:t xml:space="preserve"> </w:t>
      </w:r>
      <w:r w:rsidRPr="00723647">
        <w:rPr>
          <w:rFonts w:ascii="Times New Roman" w:hAnsi="Times New Roman" w:cs="Times New Roman"/>
          <w:sz w:val="28"/>
          <w:szCs w:val="28"/>
        </w:rPr>
        <w:t xml:space="preserve"> мало. Хоте</w:t>
      </w:r>
      <w:r w:rsidR="003F4510">
        <w:rPr>
          <w:rFonts w:ascii="Times New Roman" w:hAnsi="Times New Roman" w:cs="Times New Roman"/>
          <w:sz w:val="28"/>
          <w:szCs w:val="28"/>
        </w:rPr>
        <w:t>лось бы обратить внимание на то</w:t>
      </w:r>
      <w:r w:rsidRPr="00723647">
        <w:rPr>
          <w:rFonts w:ascii="Times New Roman" w:hAnsi="Times New Roman" w:cs="Times New Roman"/>
          <w:sz w:val="28"/>
          <w:szCs w:val="28"/>
        </w:rPr>
        <w:t>, что не один житель многоквартирного дома по ул.</w:t>
      </w:r>
      <w:r w:rsidR="00723647" w:rsidRPr="00723647">
        <w:rPr>
          <w:rFonts w:ascii="Times New Roman" w:hAnsi="Times New Roman" w:cs="Times New Roman"/>
          <w:sz w:val="28"/>
          <w:szCs w:val="28"/>
        </w:rPr>
        <w:t xml:space="preserve"> </w:t>
      </w:r>
      <w:r w:rsidRPr="00723647">
        <w:rPr>
          <w:rFonts w:ascii="Times New Roman" w:hAnsi="Times New Roman" w:cs="Times New Roman"/>
          <w:sz w:val="28"/>
          <w:szCs w:val="28"/>
        </w:rPr>
        <w:t>Площадь Револ</w:t>
      </w:r>
      <w:r w:rsidR="003F4510">
        <w:rPr>
          <w:rFonts w:ascii="Times New Roman" w:hAnsi="Times New Roman" w:cs="Times New Roman"/>
          <w:sz w:val="28"/>
          <w:szCs w:val="28"/>
        </w:rPr>
        <w:t>юции дом 12 не заключил договор</w:t>
      </w:r>
      <w:r w:rsidRPr="00723647">
        <w:rPr>
          <w:rFonts w:ascii="Times New Roman" w:hAnsi="Times New Roman" w:cs="Times New Roman"/>
          <w:sz w:val="28"/>
          <w:szCs w:val="28"/>
        </w:rPr>
        <w:t>, мусор складируется на территории Дома культуры и на частной территории вдоль ул. Центральная</w:t>
      </w:r>
      <w:r w:rsidR="003F4510">
        <w:rPr>
          <w:rFonts w:ascii="Times New Roman" w:hAnsi="Times New Roman" w:cs="Times New Roman"/>
          <w:sz w:val="28"/>
          <w:szCs w:val="28"/>
        </w:rPr>
        <w:t xml:space="preserve">. </w:t>
      </w:r>
      <w:r w:rsidRPr="00723647">
        <w:rPr>
          <w:rFonts w:ascii="Times New Roman" w:hAnsi="Times New Roman" w:cs="Times New Roman"/>
          <w:sz w:val="28"/>
          <w:szCs w:val="28"/>
        </w:rPr>
        <w:t>Я думаю</w:t>
      </w:r>
      <w:r w:rsidR="003F4510">
        <w:rPr>
          <w:rFonts w:ascii="Times New Roman" w:hAnsi="Times New Roman" w:cs="Times New Roman"/>
          <w:sz w:val="28"/>
          <w:szCs w:val="28"/>
        </w:rPr>
        <w:t>,</w:t>
      </w:r>
      <w:r w:rsidRPr="00723647">
        <w:rPr>
          <w:rFonts w:ascii="Times New Roman" w:hAnsi="Times New Roman" w:cs="Times New Roman"/>
          <w:sz w:val="28"/>
          <w:szCs w:val="28"/>
        </w:rPr>
        <w:t xml:space="preserve"> в ближайшее время соберем сход граждан и в обязательном порядке обяжем жильцов многоквартирного дома заключить договор.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На территории поселения проходят субботники. Все организации социальной сферы принимают участие. Дети совместно с педагогическим  коллективом  школы приводят в </w:t>
      </w:r>
      <w:r w:rsidR="002B17CA">
        <w:rPr>
          <w:rFonts w:ascii="Times New Roman" w:hAnsi="Times New Roman" w:cs="Times New Roman"/>
          <w:sz w:val="28"/>
          <w:szCs w:val="28"/>
        </w:rPr>
        <w:t>соответствие могилы захоронен</w:t>
      </w:r>
      <w:r w:rsidR="003F4510">
        <w:rPr>
          <w:rFonts w:ascii="Times New Roman" w:hAnsi="Times New Roman" w:cs="Times New Roman"/>
          <w:sz w:val="28"/>
          <w:szCs w:val="28"/>
        </w:rPr>
        <w:t>ий</w:t>
      </w:r>
      <w:r w:rsidRPr="00723647">
        <w:rPr>
          <w:rFonts w:ascii="Times New Roman" w:hAnsi="Times New Roman" w:cs="Times New Roman"/>
          <w:sz w:val="28"/>
          <w:szCs w:val="28"/>
        </w:rPr>
        <w:t>. Но хотелось бы увидеть и население Среднего Карачана « Почта - России», которые игнорируют все субботники.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Администрацией поселения постоянно проводятся разъяснительные работы среди населения  по пожарной безопасности, по санитарному  состоянию сел, по водоснабжению, по участию в выборной компании, по оформлению субсидий  и др.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- проводится 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работой библиотек и клубов.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>На территории поселения были организованны совместно со школой следующие культурно-массовые мероприятия : проведение праздника « День Победы»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Масленица»,» Крещение» , « День Села»,  Новый год. В данных мероприятиях  населе</w:t>
      </w:r>
      <w:r w:rsidR="003F4510">
        <w:rPr>
          <w:rFonts w:ascii="Times New Roman" w:hAnsi="Times New Roman" w:cs="Times New Roman"/>
          <w:sz w:val="28"/>
          <w:szCs w:val="28"/>
        </w:rPr>
        <w:t>ние принимает активное участие</w:t>
      </w:r>
      <w:r w:rsidRPr="00723647">
        <w:rPr>
          <w:rFonts w:ascii="Times New Roman" w:hAnsi="Times New Roman" w:cs="Times New Roman"/>
          <w:sz w:val="28"/>
          <w:szCs w:val="28"/>
        </w:rPr>
        <w:t>. Предприниматели, фермерские хозяйства оказывают финансовую помощь.</w:t>
      </w:r>
    </w:p>
    <w:p w:rsidR="00EA7446" w:rsidRPr="00723647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3F4510">
        <w:rPr>
          <w:rFonts w:ascii="Times New Roman" w:hAnsi="Times New Roman" w:cs="Times New Roman"/>
          <w:sz w:val="28"/>
          <w:szCs w:val="28"/>
        </w:rPr>
        <w:t>водились спортивные мероприятия</w:t>
      </w:r>
      <w:r w:rsidRPr="00723647">
        <w:rPr>
          <w:rFonts w:ascii="Times New Roman" w:hAnsi="Times New Roman" w:cs="Times New Roman"/>
          <w:sz w:val="28"/>
          <w:szCs w:val="28"/>
        </w:rPr>
        <w:t>, посвященные памяти Глотова Виктора Стефановича, Языкова Василия Иванович</w:t>
      </w:r>
      <w:proofErr w:type="gramStart"/>
      <w:r w:rsidRPr="007236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3647">
        <w:rPr>
          <w:rFonts w:ascii="Times New Roman" w:hAnsi="Times New Roman" w:cs="Times New Roman"/>
          <w:sz w:val="28"/>
          <w:szCs w:val="28"/>
        </w:rPr>
        <w:t xml:space="preserve"> полного кавалера орденов.</w:t>
      </w:r>
    </w:p>
    <w:p w:rsidR="00EA7446" w:rsidRDefault="00EA7446" w:rsidP="00EA7446">
      <w:pPr>
        <w:rPr>
          <w:rFonts w:ascii="Times New Roman" w:hAnsi="Times New Roman" w:cs="Times New Roman"/>
          <w:sz w:val="28"/>
          <w:szCs w:val="28"/>
        </w:rPr>
      </w:pPr>
      <w:r w:rsidRPr="00723647">
        <w:rPr>
          <w:rFonts w:ascii="Times New Roman" w:hAnsi="Times New Roman" w:cs="Times New Roman"/>
          <w:sz w:val="28"/>
          <w:szCs w:val="28"/>
        </w:rPr>
        <w:t xml:space="preserve">Благодаря настойчивой работы работников почты и администрации был выполнен план по подписке периодических изданий в </w:t>
      </w:r>
      <w:proofErr w:type="spellStart"/>
      <w:r w:rsidRPr="00723647">
        <w:rPr>
          <w:rFonts w:ascii="Times New Roman" w:hAnsi="Times New Roman" w:cs="Times New Roman"/>
          <w:sz w:val="28"/>
          <w:szCs w:val="28"/>
        </w:rPr>
        <w:t>Верхнекарачанской</w:t>
      </w:r>
      <w:proofErr w:type="spellEnd"/>
      <w:r w:rsidR="003F4510">
        <w:rPr>
          <w:rFonts w:ascii="Times New Roman" w:hAnsi="Times New Roman" w:cs="Times New Roman"/>
          <w:sz w:val="28"/>
          <w:szCs w:val="28"/>
        </w:rPr>
        <w:t xml:space="preserve"> почте</w:t>
      </w:r>
      <w:proofErr w:type="gramStart"/>
      <w:r w:rsidR="003F45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4510">
        <w:rPr>
          <w:rFonts w:ascii="Times New Roman" w:hAnsi="Times New Roman" w:cs="Times New Roman"/>
          <w:sz w:val="28"/>
          <w:szCs w:val="28"/>
        </w:rPr>
        <w:t>Хотелось -бы</w:t>
      </w:r>
      <w:r w:rsidRPr="00723647">
        <w:rPr>
          <w:rFonts w:ascii="Times New Roman" w:hAnsi="Times New Roman" w:cs="Times New Roman"/>
          <w:sz w:val="28"/>
          <w:szCs w:val="28"/>
        </w:rPr>
        <w:t xml:space="preserve"> , чтобы жители села более активнее участвовали</w:t>
      </w:r>
      <w:r w:rsidR="003F4510">
        <w:rPr>
          <w:rFonts w:ascii="Times New Roman" w:hAnsi="Times New Roman" w:cs="Times New Roman"/>
          <w:sz w:val="28"/>
          <w:szCs w:val="28"/>
        </w:rPr>
        <w:t xml:space="preserve"> </w:t>
      </w:r>
      <w:r w:rsidRPr="00723647">
        <w:rPr>
          <w:rFonts w:ascii="Times New Roman" w:hAnsi="Times New Roman" w:cs="Times New Roman"/>
          <w:sz w:val="28"/>
          <w:szCs w:val="28"/>
        </w:rPr>
        <w:t>в подписной компании.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54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465">
        <w:rPr>
          <w:rFonts w:ascii="Times New Roman" w:hAnsi="Times New Roman" w:cs="Times New Roman"/>
          <w:sz w:val="28"/>
          <w:szCs w:val="28"/>
        </w:rPr>
        <w:t xml:space="preserve">  ПЛАН НА 2020  ГОД,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 xml:space="preserve">Было обращение жителей  села по ул. Набережная Верхний Карачан и ул. Советская Средний Карачан  к главе Грибановского муниципального района </w:t>
      </w:r>
      <w:proofErr w:type="spellStart"/>
      <w:r w:rsidRPr="009D5465">
        <w:rPr>
          <w:rFonts w:ascii="Times New Roman" w:hAnsi="Times New Roman" w:cs="Times New Roman"/>
          <w:sz w:val="28"/>
          <w:szCs w:val="28"/>
        </w:rPr>
        <w:t>Рыженина</w:t>
      </w:r>
      <w:proofErr w:type="spellEnd"/>
      <w:r w:rsidRPr="009D5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465">
        <w:rPr>
          <w:rFonts w:ascii="Times New Roman" w:hAnsi="Times New Roman" w:cs="Times New Roman"/>
          <w:sz w:val="28"/>
          <w:szCs w:val="28"/>
        </w:rPr>
        <w:t>А.И.об</w:t>
      </w:r>
      <w:proofErr w:type="spellEnd"/>
      <w:r w:rsidRPr="009D5465">
        <w:rPr>
          <w:rFonts w:ascii="Times New Roman" w:hAnsi="Times New Roman" w:cs="Times New Roman"/>
          <w:sz w:val="28"/>
          <w:szCs w:val="28"/>
        </w:rPr>
        <w:t xml:space="preserve"> установки дополнительного автобусного павильона.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Была создана рабочая группа с выездом на место, определено  месторасположение данного объекта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с выбором земельного участка, согласованного с жителями. Обращение было направлено в департамент автомобильных дорог. Комиссией было рассмотрено данное обращение и дан положительный ответ. В 2020 году автобусный павильон будет установлен.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В 2020 году – долгожданный</w:t>
      </w:r>
      <w:r w:rsidRPr="009D5465">
        <w:rPr>
          <w:rFonts w:ascii="Times New Roman" w:hAnsi="Times New Roman" w:cs="Times New Roman"/>
          <w:sz w:val="28"/>
          <w:szCs w:val="28"/>
        </w:rPr>
        <w:tab/>
        <w:t xml:space="preserve"> объект—это сквер с. Верхний Карачан.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Было выделено дополнительное финансирование, нас включили в программу на 2020 год. Готовится соответствующая документация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чтобы объект выставить на торги .Будет объявлен подрядчик и приступим к выполнению работ.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Что касается дорожного фонда  на 2020 го</w:t>
      </w:r>
      <w:r w:rsidR="002B17CA">
        <w:rPr>
          <w:rFonts w:ascii="Times New Roman" w:hAnsi="Times New Roman" w:cs="Times New Roman"/>
          <w:sz w:val="28"/>
          <w:szCs w:val="28"/>
        </w:rPr>
        <w:t>д ул. Победы Средний Карачан 1,5</w:t>
      </w:r>
      <w:bookmarkStart w:id="0" w:name="_GoBack"/>
      <w:bookmarkEnd w:id="0"/>
      <w:r w:rsidRPr="009D5465">
        <w:rPr>
          <w:rFonts w:ascii="Times New Roman" w:hAnsi="Times New Roman" w:cs="Times New Roman"/>
          <w:sz w:val="28"/>
          <w:szCs w:val="28"/>
        </w:rPr>
        <w:t xml:space="preserve"> км твердого покрытия ( асфальт)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46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>енинская</w:t>
      </w:r>
      <w:proofErr w:type="spellEnd"/>
      <w:r w:rsidRPr="009D5465">
        <w:rPr>
          <w:rFonts w:ascii="Times New Roman" w:hAnsi="Times New Roman" w:cs="Times New Roman"/>
          <w:sz w:val="28"/>
          <w:szCs w:val="28"/>
        </w:rPr>
        <w:t xml:space="preserve"> Верхний Карачан  – 700 м – </w:t>
      </w:r>
      <w:proofErr w:type="spellStart"/>
      <w:r w:rsidRPr="009D5465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9D5465">
        <w:rPr>
          <w:rFonts w:ascii="Times New Roman" w:hAnsi="Times New Roman" w:cs="Times New Roman"/>
          <w:sz w:val="28"/>
          <w:szCs w:val="28"/>
        </w:rPr>
        <w:t>. Всего выделено субсидий 7,5 мл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>уб.</w:t>
      </w:r>
    </w:p>
    <w:p w:rsidR="003F4510" w:rsidRPr="009D5465" w:rsidRDefault="003F4510" w:rsidP="009D546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В 2020 году  подано 3 заявления на ТОС:</w:t>
      </w:r>
    </w:p>
    <w:p w:rsidR="003F4510" w:rsidRPr="009D5465" w:rsidRDefault="003F4510" w:rsidP="009D54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Капитальный ремонт памятника ВОВ в с. Верхний Карачан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который пришел в негодность.</w:t>
      </w:r>
    </w:p>
    <w:p w:rsidR="003F4510" w:rsidRPr="009D5465" w:rsidRDefault="003F4510" w:rsidP="009D54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Ограждение детской площадки в  Верхнем Карачане</w:t>
      </w:r>
    </w:p>
    <w:p w:rsidR="003F4510" w:rsidRPr="009D5465" w:rsidRDefault="003F4510" w:rsidP="009D54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Благоустройство  территории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прилегающей  к памятнику ВОВ в селе Средний Карачан.</w:t>
      </w: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Также нас включили в программу по гражданским захоронениям на демонтаж скульптуры « Красноармейца» на памятнике, который находится на территории школы. Работа в пределах 1 мл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>уб.</w:t>
      </w: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lastRenderedPageBreak/>
        <w:t>Такие мероприятия запланированы на 2020 год. Если на это будут выделяться дополнительные средства, данные мероприятия будут корректироваться.</w:t>
      </w: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>Все, что было сделано на территории поселения – это итог совместных усилий администрации, совета ветеранов, руководителей организаций, индивидуальных предпринимателей, при поддержке руководства администрации Грибановского муниципального района</w:t>
      </w:r>
      <w:proofErr w:type="gramStart"/>
      <w:r w:rsidRPr="009D5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465">
        <w:rPr>
          <w:rFonts w:ascii="Times New Roman" w:hAnsi="Times New Roman" w:cs="Times New Roman"/>
          <w:sz w:val="28"/>
          <w:szCs w:val="28"/>
        </w:rPr>
        <w:t xml:space="preserve"> лично </w:t>
      </w:r>
      <w:proofErr w:type="spellStart"/>
      <w:r w:rsidRPr="009D5465">
        <w:rPr>
          <w:rFonts w:ascii="Times New Roman" w:hAnsi="Times New Roman" w:cs="Times New Roman"/>
          <w:sz w:val="28"/>
          <w:szCs w:val="28"/>
        </w:rPr>
        <w:t>А.И.Рыженину</w:t>
      </w:r>
      <w:proofErr w:type="spellEnd"/>
      <w:r w:rsidRPr="009D5465">
        <w:rPr>
          <w:rFonts w:ascii="Times New Roman" w:hAnsi="Times New Roman" w:cs="Times New Roman"/>
          <w:sz w:val="28"/>
          <w:szCs w:val="28"/>
        </w:rPr>
        <w:t xml:space="preserve"> и жителей сел. Работа администрации направлена на выполнении поставленных задач и работу с населением. Создать все лучшее на селе для комфортного проживания.</w:t>
      </w: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510" w:rsidRPr="009D5465" w:rsidRDefault="003F4510" w:rsidP="009D5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4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5465">
        <w:rPr>
          <w:rFonts w:ascii="Times New Roman" w:hAnsi="Times New Roman" w:cs="Times New Roman"/>
          <w:sz w:val="28"/>
          <w:szCs w:val="28"/>
        </w:rPr>
        <w:t xml:space="preserve">      </w:t>
      </w:r>
      <w:r w:rsidRPr="009D5465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3F4510" w:rsidRPr="00723647" w:rsidRDefault="003F4510" w:rsidP="00EA7446">
      <w:pPr>
        <w:rPr>
          <w:rFonts w:ascii="Times New Roman" w:hAnsi="Times New Roman" w:cs="Times New Roman"/>
          <w:sz w:val="28"/>
          <w:szCs w:val="28"/>
        </w:rPr>
      </w:pPr>
    </w:p>
    <w:p w:rsidR="007B5494" w:rsidRDefault="007B5494"/>
    <w:sectPr w:rsidR="007B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6F81"/>
    <w:multiLevelType w:val="hybridMultilevel"/>
    <w:tmpl w:val="BC4E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2"/>
    <w:rsid w:val="002B17CA"/>
    <w:rsid w:val="003F4510"/>
    <w:rsid w:val="005844C2"/>
    <w:rsid w:val="00723647"/>
    <w:rsid w:val="007B5494"/>
    <w:rsid w:val="009D5465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3647"/>
    <w:rPr>
      <w:b/>
      <w:bCs/>
    </w:rPr>
  </w:style>
  <w:style w:type="paragraph" w:styleId="a5">
    <w:name w:val="List Paragraph"/>
    <w:basedOn w:val="a"/>
    <w:uiPriority w:val="34"/>
    <w:qFormat/>
    <w:rsid w:val="003F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3647"/>
    <w:rPr>
      <w:b/>
      <w:bCs/>
    </w:rPr>
  </w:style>
  <w:style w:type="paragraph" w:styleId="a5">
    <w:name w:val="List Paragraph"/>
    <w:basedOn w:val="a"/>
    <w:uiPriority w:val="34"/>
    <w:qFormat/>
    <w:rsid w:val="003F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2020-02-05T11:08:00Z</dcterms:created>
  <dcterms:modified xsi:type="dcterms:W3CDTF">2020-02-18T12:06:00Z</dcterms:modified>
</cp:coreProperties>
</file>