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32" w:rsidRPr="00871867" w:rsidRDefault="00BB7C32" w:rsidP="00BB7C32">
      <w:pPr>
        <w:ind w:firstLine="709"/>
        <w:jc w:val="right"/>
        <w:rPr>
          <w:rFonts w:ascii="Times New Roman" w:hAnsi="Times New Roman"/>
          <w:b/>
          <w:sz w:val="28"/>
          <w:szCs w:val="28"/>
        </w:rPr>
      </w:pPr>
      <w:r w:rsidRPr="00871867">
        <w:rPr>
          <w:rFonts w:ascii="Times New Roman" w:hAnsi="Times New Roman"/>
          <w:b/>
          <w:sz w:val="28"/>
          <w:szCs w:val="28"/>
        </w:rPr>
        <w:t xml:space="preserve">ПРОЕКТ </w:t>
      </w:r>
    </w:p>
    <w:p w:rsidR="00BB7C32" w:rsidRDefault="00BB7C32"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BB7C32" w:rsidP="000D1AC7">
      <w:pPr>
        <w:ind w:firstLine="709"/>
        <w:jc w:val="center"/>
        <w:rPr>
          <w:rFonts w:ascii="Times New Roman" w:hAnsi="Times New Roman"/>
          <w:sz w:val="28"/>
          <w:szCs w:val="28"/>
        </w:rPr>
      </w:pPr>
      <w:r>
        <w:rPr>
          <w:rFonts w:ascii="Times New Roman" w:hAnsi="Times New Roman"/>
          <w:sz w:val="28"/>
          <w:szCs w:val="28"/>
        </w:rPr>
        <w:t>ВЕРХНЕКАРАЧАНСКОГО</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BB7C32" w:rsidP="000D1AC7">
      <w:pPr>
        <w:ind w:firstLine="709"/>
        <w:rPr>
          <w:rFonts w:ascii="Times New Roman" w:hAnsi="Times New Roman"/>
          <w:sz w:val="28"/>
          <w:szCs w:val="28"/>
        </w:rPr>
      </w:pPr>
      <w:r>
        <w:rPr>
          <w:rFonts w:ascii="Times New Roman" w:hAnsi="Times New Roman"/>
          <w:sz w:val="28"/>
          <w:szCs w:val="28"/>
        </w:rPr>
        <w:t>с. Верхний Карачан</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proofErr w:type="spellStart"/>
      <w:r w:rsidR="00BB7C32">
        <w:rPr>
          <w:rFonts w:ascii="Times New Roman" w:hAnsi="Times New Roman" w:cs="Times New Roman"/>
          <w:b w:val="0"/>
          <w:sz w:val="28"/>
          <w:szCs w:val="28"/>
        </w:rPr>
        <w:t>Верхнекарачанского</w:t>
      </w:r>
      <w:proofErr w:type="spellEnd"/>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BB7C32" w:rsidRPr="00BB7C32">
        <w:rPr>
          <w:rFonts w:ascii="Times New Roman" w:hAnsi="Times New Roman"/>
          <w:sz w:val="28"/>
          <w:szCs w:val="28"/>
        </w:rPr>
        <w:t>Верхнекарачанского</w:t>
      </w:r>
      <w:proofErr w:type="spellEnd"/>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proofErr w:type="spellStart"/>
      <w:r w:rsidR="00BB7C32" w:rsidRPr="00BB7C32">
        <w:rPr>
          <w:rFonts w:ascii="Times New Roman" w:hAnsi="Times New Roman"/>
          <w:sz w:val="28"/>
          <w:szCs w:val="28"/>
        </w:rPr>
        <w:t>Верхнекарачанского</w:t>
      </w:r>
      <w:proofErr w:type="spellEnd"/>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proofErr w:type="spellStart"/>
      <w:r w:rsidR="00BB7C32" w:rsidRPr="00BB7C32">
        <w:rPr>
          <w:rFonts w:ascii="Times New Roman" w:hAnsi="Times New Roman"/>
          <w:sz w:val="28"/>
          <w:szCs w:val="28"/>
        </w:rPr>
        <w:t>Верхнекарачанского</w:t>
      </w:r>
      <w:proofErr w:type="spellEnd"/>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F00800">
        <w:rPr>
          <w:rFonts w:ascii="Times New Roman" w:hAnsi="Times New Roman"/>
          <w:sz w:val="28"/>
          <w:szCs w:val="28"/>
        </w:rPr>
        <w:t>«</w:t>
      </w:r>
      <w:r w:rsidR="00A05E07">
        <w:rPr>
          <w:rFonts w:ascii="Times New Roman" w:hAnsi="Times New Roman"/>
          <w:sz w:val="28"/>
          <w:szCs w:val="28"/>
        </w:rPr>
        <w:t>14</w:t>
      </w:r>
      <w:r w:rsidR="00F00800">
        <w:rPr>
          <w:rFonts w:ascii="Times New Roman" w:hAnsi="Times New Roman"/>
          <w:sz w:val="28"/>
          <w:szCs w:val="28"/>
        </w:rPr>
        <w:t xml:space="preserve">» июня </w:t>
      </w:r>
      <w:bookmarkStart w:id="0" w:name="_GoBack"/>
      <w:bookmarkEnd w:id="0"/>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00A05E07">
        <w:rPr>
          <w:rFonts w:ascii="Times New Roman" w:hAnsi="Times New Roman"/>
          <w:sz w:val="28"/>
          <w:szCs w:val="28"/>
        </w:rPr>
        <w:t>№ 97</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proofErr w:type="spellStart"/>
      <w:r w:rsidR="00BB7C32" w:rsidRPr="00BB7C32">
        <w:rPr>
          <w:rFonts w:ascii="Times New Roman" w:eastAsia="SimSun" w:hAnsi="Times New Roman"/>
          <w:bCs/>
          <w:kern w:val="28"/>
          <w:sz w:val="28"/>
          <w:szCs w:val="28"/>
          <w:lang w:eastAsia="hi-IN" w:bidi="hi-IN"/>
        </w:rPr>
        <w:t>Верхнекарачанского</w:t>
      </w:r>
      <w:proofErr w:type="spellEnd"/>
      <w:r w:rsidR="005F4D63" w:rsidRPr="005F4D63">
        <w:rPr>
          <w:rFonts w:ascii="Times New Roman" w:eastAsia="SimSun" w:hAnsi="Times New Roman"/>
          <w:bCs/>
          <w:kern w:val="28"/>
          <w:sz w:val="28"/>
          <w:szCs w:val="28"/>
          <w:lang w:eastAsia="hi-IN" w:bidi="hi-IN"/>
        </w:rPr>
        <w:t xml:space="preserve"> сельского </w:t>
      </w:r>
      <w:r w:rsidR="005F4D63" w:rsidRPr="005F4D63">
        <w:rPr>
          <w:rFonts w:ascii="Times New Roman" w:eastAsia="SimSun" w:hAnsi="Times New Roman"/>
          <w:bCs/>
          <w:kern w:val="28"/>
          <w:sz w:val="28"/>
          <w:szCs w:val="28"/>
          <w:lang w:eastAsia="hi-IN" w:bidi="hi-IN"/>
        </w:rPr>
        <w:lastRenderedPageBreak/>
        <w:t>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BB7C32" w:rsidRPr="00BB7C32">
        <w:rPr>
          <w:rFonts w:ascii="Times New Roman" w:hAnsi="Times New Roman"/>
          <w:sz w:val="28"/>
          <w:szCs w:val="28"/>
        </w:rPr>
        <w:t>Верхнекарачанского</w:t>
      </w:r>
      <w:proofErr w:type="spellEnd"/>
      <w:r w:rsidR="00A709A6" w:rsidRPr="000D1AC7">
        <w:rPr>
          <w:rFonts w:ascii="Times New Roman" w:hAnsi="Times New Roman"/>
          <w:sz w:val="28"/>
          <w:szCs w:val="28"/>
        </w:rPr>
        <w:t xml:space="preserve"> сельского поселения и размещения на официальном сайте </w:t>
      </w:r>
      <w:proofErr w:type="spellStart"/>
      <w:r w:rsidR="00BB7C32" w:rsidRPr="00BB7C32">
        <w:rPr>
          <w:rFonts w:ascii="Times New Roman" w:hAnsi="Times New Roman"/>
          <w:sz w:val="28"/>
          <w:szCs w:val="28"/>
        </w:rPr>
        <w:t>Верхнекарачанского</w:t>
      </w:r>
      <w:proofErr w:type="spellEnd"/>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BB7C32" w:rsidP="000D1AC7">
            <w:pPr>
              <w:ind w:firstLine="709"/>
              <w:rPr>
                <w:rFonts w:ascii="Times New Roman" w:hAnsi="Times New Roman"/>
                <w:sz w:val="28"/>
                <w:szCs w:val="28"/>
              </w:rPr>
            </w:pPr>
            <w:r>
              <w:rPr>
                <w:rFonts w:ascii="Times New Roman" w:hAnsi="Times New Roman"/>
                <w:sz w:val="28"/>
                <w:szCs w:val="28"/>
              </w:rPr>
              <w:t>Е.В. Степанищева</w:t>
            </w:r>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BB7C32" w:rsidP="000D1AC7">
      <w:pPr>
        <w:widowControl w:val="0"/>
        <w:ind w:firstLine="709"/>
        <w:jc w:val="right"/>
        <w:rPr>
          <w:rFonts w:ascii="Times New Roman" w:hAnsi="Times New Roman"/>
          <w:bCs/>
          <w:kern w:val="28"/>
          <w:sz w:val="28"/>
          <w:szCs w:val="28"/>
          <w:lang w:bidi="ru-RU"/>
        </w:rPr>
      </w:pPr>
      <w:proofErr w:type="spellStart"/>
      <w:r w:rsidRPr="00BB7C32">
        <w:rPr>
          <w:rFonts w:ascii="Times New Roman" w:eastAsia="Arial Unicode MS" w:hAnsi="Times New Roman"/>
          <w:sz w:val="28"/>
          <w:szCs w:val="28"/>
          <w:lang w:bidi="ru-RU"/>
        </w:rPr>
        <w:t>Верхнекарачанского</w:t>
      </w:r>
      <w:proofErr w:type="spellEnd"/>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proofErr w:type="spellStart"/>
      <w:r w:rsidR="00BB7C32" w:rsidRPr="00BB7C32">
        <w:rPr>
          <w:i w:val="0"/>
          <w:sz w:val="28"/>
          <w:szCs w:val="28"/>
        </w:rPr>
        <w:t>Верхнекарачанского</w:t>
      </w:r>
      <w:proofErr w:type="spellEnd"/>
      <w:r w:rsidR="00A709A6" w:rsidRPr="000D1AC7">
        <w:rPr>
          <w:i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proofErr w:type="spellStart"/>
      <w:r w:rsidR="00BB7C32" w:rsidRPr="00BB7C32">
        <w:rPr>
          <w:rFonts w:ascii="Times New Roman" w:hAnsi="Times New Roman"/>
          <w:sz w:val="28"/>
          <w:szCs w:val="28"/>
        </w:rPr>
        <w:t>Верхнекарачанского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proofErr w:type="spellStart"/>
      <w:r w:rsidR="00BB7C32" w:rsidRPr="00BB7C32">
        <w:rPr>
          <w:rFonts w:ascii="Times New Roman" w:hAnsi="Times New Roman"/>
          <w:sz w:val="28"/>
          <w:szCs w:val="28"/>
        </w:rPr>
        <w:t>Верхнекарачанского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proofErr w:type="spellStart"/>
      <w:r w:rsidR="00BB7C32" w:rsidRPr="00BB7C32">
        <w:rPr>
          <w:rFonts w:ascii="Times New Roman" w:hAnsi="Times New Roman"/>
          <w:sz w:val="28"/>
          <w:szCs w:val="28"/>
        </w:rPr>
        <w:t>Верхнекарачанского</w:t>
      </w:r>
      <w:proofErr w:type="spellEnd"/>
      <w:r w:rsidR="00382241" w:rsidRPr="000D1AC7">
        <w:rPr>
          <w:rFonts w:ascii="Times New Roman" w:hAnsi="Times New Roman"/>
          <w:sz w:val="28"/>
          <w:szCs w:val="28"/>
        </w:rPr>
        <w:t xml:space="preserve"> сельского </w:t>
      </w:r>
      <w:r w:rsidR="00382241" w:rsidRPr="000D1AC7">
        <w:rPr>
          <w:rFonts w:ascii="Times New Roman" w:hAnsi="Times New Roman"/>
          <w:sz w:val="28"/>
          <w:szCs w:val="28"/>
        </w:rPr>
        <w:lastRenderedPageBreak/>
        <w:t>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4E1692">
        <w:rPr>
          <w:rFonts w:ascii="Times New Roman" w:hAnsi="Times New Roman"/>
          <w:sz w:val="28"/>
          <w:szCs w:val="28"/>
        </w:rPr>
        <w:t>(</w:t>
      </w:r>
      <w:r w:rsidR="004E1692" w:rsidRPr="004E1692">
        <w:rPr>
          <w:rFonts w:ascii="Times New Roman" w:hAnsi="Times New Roman"/>
          <w:sz w:val="28"/>
          <w:szCs w:val="28"/>
        </w:rPr>
        <w:t>h</w:t>
      </w:r>
      <w:r w:rsidR="004E1692">
        <w:rPr>
          <w:rFonts w:ascii="Times New Roman" w:hAnsi="Times New Roman"/>
          <w:sz w:val="28"/>
          <w:szCs w:val="28"/>
        </w:rPr>
        <w:t>ttps://verhkar-grib.ru</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proofErr w:type="gramStart"/>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proofErr w:type="gramStart"/>
      <w:r w:rsidRPr="000D1AC7">
        <w:rPr>
          <w:rStyle w:val="100pt"/>
          <w:color w:val="auto"/>
          <w:sz w:val="28"/>
          <w:szCs w:val="28"/>
        </w:rPr>
        <w:t>предоставляющей</w:t>
      </w:r>
      <w:proofErr w:type="gramEnd"/>
      <w:r w:rsidRPr="000D1AC7">
        <w:rPr>
          <w:rStyle w:val="100pt"/>
          <w:color w:val="auto"/>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0D1AC7">
        <w:rPr>
          <w:rFonts w:ascii="Times New Roman" w:hAnsi="Times New Roman"/>
          <w:sz w:val="28"/>
          <w:szCs w:val="28"/>
        </w:rPr>
        <w:lastRenderedPageBreak/>
        <w:t>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proofErr w:type="gramStart"/>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proofErr w:type="spellStart"/>
      <w:r w:rsidR="00BB7C32" w:rsidRPr="00BB7C32">
        <w:rPr>
          <w:rFonts w:ascii="Times New Roman" w:hAnsi="Times New Roman"/>
          <w:sz w:val="28"/>
          <w:szCs w:val="28"/>
        </w:rPr>
        <w:t>Верхнекарачанского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 xml:space="preserve">5.4. В </w:t>
      </w:r>
      <w:proofErr w:type="gramStart"/>
      <w:r w:rsidRPr="000D1AC7">
        <w:rPr>
          <w:rFonts w:ascii="Times New Roman" w:hAnsi="Times New Roman"/>
          <w:sz w:val="28"/>
          <w:szCs w:val="28"/>
        </w:rPr>
        <w:t>целях</w:t>
      </w:r>
      <w:proofErr w:type="gramEnd"/>
      <w:r w:rsidRPr="000D1AC7">
        <w:rPr>
          <w:rFonts w:ascii="Times New Roman" w:hAnsi="Times New Roman"/>
          <w:sz w:val="28"/>
          <w:szCs w:val="28"/>
        </w:rPr>
        <w:t xml:space="preserve">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lastRenderedPageBreak/>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proofErr w:type="spellStart"/>
      <w:r w:rsidR="00BB7C32" w:rsidRPr="00BB7C32">
        <w:rPr>
          <w:rFonts w:ascii="Times New Roman" w:hAnsi="Times New Roman"/>
          <w:sz w:val="28"/>
          <w:szCs w:val="28"/>
        </w:rPr>
        <w:t>Верхнекарачанского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BB7C32" w:rsidRPr="00BB7C32">
        <w:rPr>
          <w:rFonts w:ascii="Times New Roman" w:hAnsi="Times New Roman"/>
          <w:sz w:val="28"/>
          <w:szCs w:val="28"/>
        </w:rPr>
        <w:t>Верхнекарачанского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proofErr w:type="spellStart"/>
      <w:r w:rsidR="00BB7C32" w:rsidRPr="00BB7C32">
        <w:rPr>
          <w:rFonts w:ascii="Times New Roman" w:hAnsi="Times New Roman"/>
          <w:sz w:val="28"/>
          <w:szCs w:val="28"/>
        </w:rPr>
        <w:t>Верхнекарачанского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proofErr w:type="gramStart"/>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roofErr w:type="gramEnd"/>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lastRenderedPageBreak/>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proofErr w:type="spellStart"/>
      <w:r w:rsidR="00BB7C32" w:rsidRPr="00BB7C32">
        <w:rPr>
          <w:rFonts w:ascii="Times New Roman" w:hAnsi="Times New Roman"/>
          <w:sz w:val="28"/>
          <w:szCs w:val="28"/>
        </w:rPr>
        <w:t>Верхнекарачанского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proofErr w:type="spellStart"/>
      <w:r w:rsidR="00BB7C32" w:rsidRPr="00BB7C32">
        <w:rPr>
          <w:rFonts w:ascii="Times New Roman" w:hAnsi="Times New Roman"/>
          <w:sz w:val="28"/>
          <w:szCs w:val="28"/>
        </w:rPr>
        <w:t>Верхнекарачанского</w:t>
      </w:r>
      <w:proofErr w:type="spellEnd"/>
      <w:r w:rsidR="00986EA8"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w:t>
      </w:r>
      <w:r w:rsidR="004E1692">
        <w:rPr>
          <w:sz w:val="28"/>
          <w:szCs w:val="28"/>
        </w:rPr>
        <w:t xml:space="preserve">альные услуги» по адресу </w:t>
      </w:r>
      <w:r w:rsidR="004E1692" w:rsidRPr="004E1692">
        <w:rPr>
          <w:sz w:val="28"/>
          <w:szCs w:val="28"/>
        </w:rPr>
        <w:t>h</w:t>
      </w:r>
      <w:r w:rsidR="004E1692">
        <w:rPr>
          <w:sz w:val="28"/>
          <w:szCs w:val="28"/>
        </w:rPr>
        <w:t>ttps://verhkar-grib.ru</w:t>
      </w:r>
      <w:r w:rsidR="009257F5"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lastRenderedPageBreak/>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 xml:space="preserve">МФЦ). </w:t>
      </w:r>
      <w:proofErr w:type="gramStart"/>
      <w:r w:rsidR="0007452D" w:rsidRPr="000D1AC7">
        <w:rPr>
          <w:rFonts w:ascii="Times New Roman" w:hAnsi="Times New Roman"/>
          <w:sz w:val="28"/>
          <w:szCs w:val="28"/>
        </w:rPr>
        <w:t>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roofErr w:type="gramEnd"/>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w:t>
      </w:r>
      <w:r w:rsidRPr="000D1AC7">
        <w:rPr>
          <w:rFonts w:ascii="Times New Roman" w:hAnsi="Times New Roman"/>
          <w:sz w:val="28"/>
          <w:szCs w:val="28"/>
        </w:rPr>
        <w:lastRenderedPageBreak/>
        <w:t>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w:t>
      </w:r>
      <w:r w:rsidRPr="000D1AC7">
        <w:rPr>
          <w:rFonts w:ascii="Times New Roman" w:hAnsi="Times New Roman"/>
          <w:sz w:val="28"/>
          <w:szCs w:val="28"/>
        </w:rPr>
        <w:lastRenderedPageBreak/>
        <w:t>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w:t>
      </w:r>
      <w:proofErr w:type="gramStart"/>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roofErr w:type="gramEnd"/>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 xml:space="preserve">находятся в </w:t>
      </w:r>
      <w:r w:rsidRPr="000D1AC7">
        <w:rPr>
          <w:rFonts w:ascii="Times New Roman" w:hAnsi="Times New Roman"/>
          <w:bCs/>
          <w:sz w:val="28"/>
          <w:szCs w:val="28"/>
        </w:rP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0D1AC7">
        <w:rPr>
          <w:rFonts w:ascii="Times New Roman" w:eastAsia="Calibri" w:hAnsi="Times New Roman"/>
          <w:sz w:val="28"/>
          <w:szCs w:val="28"/>
        </w:rPr>
        <w:lastRenderedPageBreak/>
        <w:t>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lastRenderedPageBreak/>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w:t>
      </w:r>
      <w:r w:rsidRPr="000D1AC7">
        <w:rPr>
          <w:rFonts w:ascii="Times New Roman" w:hAnsi="Times New Roman" w:cs="Times New Roman"/>
          <w:sz w:val="28"/>
          <w:szCs w:val="28"/>
        </w:rPr>
        <w:lastRenderedPageBreak/>
        <w:t xml:space="preserve">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proofErr w:type="spellStart"/>
      <w:r w:rsidR="004E1692">
        <w:rPr>
          <w:rFonts w:ascii="Times New Roman" w:eastAsiaTheme="minorHAnsi" w:hAnsi="Times New Roman"/>
          <w:sz w:val="28"/>
          <w:szCs w:val="28"/>
          <w:lang w:eastAsia="en-US"/>
        </w:rPr>
        <w:t>Верхнекарачанского</w:t>
      </w:r>
      <w:proofErr w:type="spellEnd"/>
      <w:r w:rsidR="004E1692">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proofErr w:type="spellStart"/>
      <w:r w:rsidR="004E1692" w:rsidRPr="004E1692">
        <w:rPr>
          <w:rFonts w:ascii="Times New Roman" w:hAnsi="Times New Roman"/>
          <w:sz w:val="28"/>
          <w:szCs w:val="28"/>
        </w:rPr>
        <w:t>Верхнекарачанского</w:t>
      </w:r>
      <w:proofErr w:type="spellEnd"/>
      <w:r w:rsidR="004E1692" w:rsidRPr="004E1692">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w:t>
      </w:r>
      <w:proofErr w:type="gramStart"/>
      <w:r w:rsidRPr="000D1AC7">
        <w:rPr>
          <w:rFonts w:ascii="Times New Roman" w:eastAsiaTheme="minorHAnsi" w:hAnsi="Times New Roman"/>
          <w:sz w:val="28"/>
          <w:szCs w:val="28"/>
          <w:lang w:eastAsia="en-US"/>
        </w:rPr>
        <w:t>случае</w:t>
      </w:r>
      <w:proofErr w:type="gramEnd"/>
      <w:r w:rsidRPr="000D1AC7">
        <w:rPr>
          <w:rFonts w:ascii="Times New Roman" w:eastAsiaTheme="minorHAnsi" w:hAnsi="Times New Roman"/>
          <w:sz w:val="28"/>
          <w:szCs w:val="28"/>
          <w:lang w:eastAsia="en-US"/>
        </w:rPr>
        <w:t xml:space="preserve">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lastRenderedPageBreak/>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16.4. </w:t>
      </w:r>
      <w:proofErr w:type="gramStart"/>
      <w:r w:rsidRPr="000D1AC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lastRenderedPageBreak/>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proofErr w:type="gramStart"/>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17.2. В </w:t>
      </w:r>
      <w:proofErr w:type="gramStart"/>
      <w:r w:rsidRPr="000D1AC7">
        <w:rPr>
          <w:rFonts w:ascii="Times New Roman" w:hAnsi="Times New Roman"/>
          <w:sz w:val="28"/>
          <w:szCs w:val="28"/>
        </w:rPr>
        <w:t>целях</w:t>
      </w:r>
      <w:proofErr w:type="gramEnd"/>
      <w:r w:rsidRPr="000D1AC7">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0D1AC7">
        <w:rPr>
          <w:rFonts w:ascii="Times New Roman" w:hAnsi="Times New Roman"/>
          <w:sz w:val="28"/>
          <w:szCs w:val="28"/>
        </w:rPr>
        <w:lastRenderedPageBreak/>
        <w:t xml:space="preserve">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proofErr w:type="gramStart"/>
      <w:r w:rsidRPr="000D1AC7">
        <w:rPr>
          <w:rFonts w:ascii="Times New Roman" w:hAnsi="Times New Roman"/>
          <w:sz w:val="28"/>
          <w:szCs w:val="28"/>
        </w:rPr>
        <w:t>а) возможность идентифицировать документ и количество листов в документе;</w:t>
      </w:r>
      <w:proofErr w:type="gramEnd"/>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w:t>
      </w:r>
      <w:proofErr w:type="gramStart"/>
      <w:r w:rsidRPr="000D1AC7">
        <w:rPr>
          <w:rFonts w:ascii="Times New Roman" w:hAnsi="Times New Roman"/>
          <w:sz w:val="28"/>
          <w:szCs w:val="28"/>
        </w:rPr>
        <w:t>соответствии</w:t>
      </w:r>
      <w:proofErr w:type="gramEnd"/>
      <w:r w:rsidRPr="000D1AC7">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proofErr w:type="gramStart"/>
      <w:r w:rsidRPr="000D1AC7">
        <w:rPr>
          <w:sz w:val="28"/>
          <w:szCs w:val="28"/>
        </w:rPr>
        <w:t>а) прием и регистрация запроса и документов и (или) информации, необходимых для предоставления Муниципальной услуги;</w:t>
      </w:r>
      <w:proofErr w:type="gramEnd"/>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lastRenderedPageBreak/>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w:t>
      </w:r>
      <w:proofErr w:type="gramStart"/>
      <w:r w:rsidRPr="000D1AC7">
        <w:rPr>
          <w:rFonts w:ascii="Times New Roman" w:hAnsi="Times New Roman"/>
          <w:sz w:val="28"/>
          <w:szCs w:val="28"/>
        </w:rPr>
        <w:t>оформляется и направляется</w:t>
      </w:r>
      <w:proofErr w:type="gramEnd"/>
      <w:r w:rsidRPr="000D1AC7">
        <w:rPr>
          <w:rFonts w:ascii="Times New Roman" w:hAnsi="Times New Roman"/>
          <w:sz w:val="28"/>
          <w:szCs w:val="28"/>
        </w:rPr>
        <w:t xml:space="preserve"> Заявителю не позднее 5 рабочих дней с даты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 xml:space="preserve">В </w:t>
      </w:r>
      <w:proofErr w:type="gramStart"/>
      <w:r w:rsidRPr="000D1AC7">
        <w:rPr>
          <w:rFonts w:ascii="Times New Roman" w:hAnsi="Times New Roman"/>
          <w:bCs/>
          <w:sz w:val="28"/>
          <w:szCs w:val="28"/>
        </w:rPr>
        <w:t>случае</w:t>
      </w:r>
      <w:proofErr w:type="gramEnd"/>
      <w:r w:rsidRPr="000D1AC7">
        <w:rPr>
          <w:rFonts w:ascii="Times New Roman" w:hAnsi="Times New Roman"/>
          <w:bCs/>
          <w:sz w:val="28"/>
          <w:szCs w:val="28"/>
        </w:rPr>
        <w:t xml:space="preserve">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б) в Управлении </w:t>
      </w:r>
      <w:proofErr w:type="gramStart"/>
      <w:r w:rsidRPr="000D1AC7">
        <w:rPr>
          <w:rFonts w:ascii="Times New Roman" w:eastAsia="SimSun" w:hAnsi="Times New Roman"/>
          <w:sz w:val="28"/>
          <w:szCs w:val="28"/>
        </w:rPr>
        <w:t>Федеральной</w:t>
      </w:r>
      <w:proofErr w:type="gramEnd"/>
      <w:r w:rsidRPr="000D1AC7">
        <w:rPr>
          <w:rFonts w:ascii="Times New Roman" w:eastAsia="SimSun" w:hAnsi="Times New Roman"/>
          <w:sz w:val="28"/>
          <w:szCs w:val="28"/>
        </w:rPr>
        <w:t xml:space="preserve">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0D1AC7">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Обследование земельного участка осуществляется </w:t>
      </w:r>
      <w:proofErr w:type="spellStart"/>
      <w:r w:rsidRPr="000D1AC7">
        <w:rPr>
          <w:rFonts w:ascii="Times New Roman" w:eastAsiaTheme="minorHAnsi" w:hAnsi="Times New Roman"/>
          <w:sz w:val="28"/>
          <w:szCs w:val="28"/>
          <w:lang w:eastAsia="en-US"/>
        </w:rPr>
        <w:t>комиссионно</w:t>
      </w:r>
      <w:proofErr w:type="spellEnd"/>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w:t>
      </w:r>
      <w:r w:rsidRPr="000D1AC7">
        <w:rPr>
          <w:rFonts w:ascii="Times New Roman" w:hAnsi="Times New Roman"/>
          <w:sz w:val="28"/>
          <w:szCs w:val="28"/>
        </w:rPr>
        <w:lastRenderedPageBreak/>
        <w:t xml:space="preserve">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proofErr w:type="spellStart"/>
      <w:r w:rsidR="004E1692" w:rsidRPr="004E1692">
        <w:rPr>
          <w:rFonts w:ascii="Times New Roman" w:hAnsi="Times New Roman"/>
          <w:sz w:val="28"/>
          <w:szCs w:val="28"/>
        </w:rPr>
        <w:t>Верхнекарачанского</w:t>
      </w:r>
      <w:proofErr w:type="spellEnd"/>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lastRenderedPageBreak/>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lastRenderedPageBreak/>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w:t>
      </w:r>
      <w:r w:rsidRPr="000D1AC7">
        <w:rPr>
          <w:rFonts w:ascii="Times New Roman" w:hAnsi="Times New Roman"/>
          <w:sz w:val="28"/>
          <w:szCs w:val="28"/>
        </w:rPr>
        <w:lastRenderedPageBreak/>
        <w:t>(муниципальной)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4E1692" w:rsidRPr="004E1692">
        <w:rPr>
          <w:sz w:val="28"/>
          <w:szCs w:val="28"/>
        </w:rPr>
        <w:t>Верхнекарачанского</w:t>
      </w:r>
      <w:proofErr w:type="spellEnd"/>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w:t>
      </w:r>
      <w:r w:rsidR="00467581" w:rsidRPr="000D1AC7">
        <w:rPr>
          <w:rFonts w:ascii="Times New Roman" w:eastAsiaTheme="minorHAnsi" w:hAnsi="Times New Roman"/>
          <w:b/>
          <w:sz w:val="28"/>
          <w:szCs w:val="28"/>
        </w:rPr>
        <w:lastRenderedPageBreak/>
        <w:t>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lastRenderedPageBreak/>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0D1AC7">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w:t>
      </w:r>
      <w:r w:rsidRPr="000D1AC7">
        <w:rPr>
          <w:rFonts w:ascii="Times New Roman" w:hAnsi="Times New Roman"/>
          <w:sz w:val="28"/>
          <w:szCs w:val="28"/>
        </w:rPr>
        <w:lastRenderedPageBreak/>
        <w:t xml:space="preserve">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w:t>
            </w:r>
            <w:r w:rsidRPr="000D1AC7">
              <w:rPr>
                <w:rFonts w:ascii="Times New Roman" w:hAnsi="Times New Roman"/>
                <w:sz w:val="28"/>
                <w:szCs w:val="28"/>
              </w:rPr>
              <w:lastRenderedPageBreak/>
              <w:t xml:space="preserve">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w:t>
            </w:r>
            <w:r w:rsidR="004E1692">
              <w:rPr>
                <w:rFonts w:ascii="Times New Roman" w:eastAsiaTheme="minorHAnsi" w:hAnsi="Times New Roman"/>
                <w:sz w:val="28"/>
                <w:szCs w:val="28"/>
                <w:lang w:eastAsia="en-US"/>
              </w:rPr>
              <w:t>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w:t>
            </w:r>
            <w:r w:rsidR="004E1692">
              <w:rPr>
                <w:rFonts w:ascii="Times New Roman" w:eastAsiaTheme="minorHAnsi" w:hAnsi="Times New Roman"/>
                <w:sz w:val="28"/>
                <w:szCs w:val="28"/>
                <w:lang w:eastAsia="en-US"/>
              </w:rPr>
              <w:t>оложенных</w:t>
            </w:r>
            <w:proofErr w:type="gramEnd"/>
            <w:r w:rsidR="004E1692">
              <w:rPr>
                <w:rFonts w:ascii="Times New Roman" w:eastAsiaTheme="minorHAnsi" w:hAnsi="Times New Roman"/>
                <w:sz w:val="28"/>
                <w:szCs w:val="28"/>
                <w:lang w:eastAsia="en-US"/>
              </w:rPr>
              <w:t xml:space="preserve"> по адресу: </w:t>
            </w:r>
            <w:r w:rsidRPr="000D1AC7">
              <w:rPr>
                <w:rFonts w:ascii="Times New Roman" w:eastAsiaTheme="minorHAnsi" w:hAnsi="Times New Roman"/>
                <w:sz w:val="28"/>
                <w:szCs w:val="28"/>
                <w:lang w:eastAsia="en-US"/>
              </w:rPr>
              <w:t xml:space="preserve"> _____________</w:t>
            </w:r>
            <w:r w:rsidR="004E1692">
              <w:rPr>
                <w:rFonts w:ascii="Times New Roman" w:eastAsiaTheme="minorHAnsi" w:hAnsi="Times New Roman"/>
                <w:sz w:val="28"/>
                <w:szCs w:val="28"/>
                <w:lang w:eastAsia="en-US"/>
              </w:rPr>
              <w:t>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w:t>
            </w:r>
            <w:r w:rsidR="004E1692">
              <w:rPr>
                <w:rFonts w:ascii="Times New Roman" w:eastAsiaTheme="minorHAnsi" w:hAnsi="Times New Roman"/>
                <w:sz w:val="28"/>
                <w:szCs w:val="28"/>
                <w:lang w:eastAsia="en-US"/>
              </w:rPr>
              <w:t>__________________</w:t>
            </w:r>
            <w:r w:rsidRPr="000D1AC7">
              <w:rPr>
                <w:rFonts w:ascii="Times New Roman" w:eastAsiaTheme="minorHAnsi" w:hAnsi="Times New Roman"/>
                <w:sz w:val="28"/>
                <w:szCs w:val="28"/>
                <w:lang w:eastAsia="en-US"/>
              </w:rPr>
              <w:t>.</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4E1692"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В </w:t>
            </w:r>
            <w:proofErr w:type="gramStart"/>
            <w:r w:rsidRPr="000D1AC7">
              <w:rPr>
                <w:rFonts w:ascii="Times New Roman" w:eastAsiaTheme="minorHAnsi" w:hAnsi="Times New Roman"/>
                <w:sz w:val="28"/>
                <w:szCs w:val="28"/>
                <w:lang w:eastAsia="en-US"/>
              </w:rPr>
              <w:t>соответствии</w:t>
            </w:r>
            <w:proofErr w:type="gramEnd"/>
            <w:r w:rsidRPr="000D1AC7">
              <w:rPr>
                <w:rFonts w:ascii="Times New Roman" w:eastAsiaTheme="minorHAnsi" w:hAnsi="Times New Roman"/>
                <w:sz w:val="28"/>
                <w:szCs w:val="28"/>
                <w:lang w:eastAsia="en-US"/>
              </w:rPr>
              <w:t xml:space="preserve">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4E1692"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4E1692"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Подготовка акта обследовани</w:t>
            </w:r>
            <w:r w:rsidRPr="000D1AC7">
              <w:rPr>
                <w:rFonts w:ascii="Times New Roman" w:hAnsi="Times New Roman" w:cs="Times New Roman"/>
                <w:sz w:val="28"/>
                <w:szCs w:val="28"/>
              </w:rPr>
              <w:lastRenderedPageBreak/>
              <w:t>я, направление 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акта 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на 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w:t>
      </w:r>
      <w:r w:rsidR="00061E0C">
        <w:rPr>
          <w:rFonts w:ascii="Times New Roman" w:eastAsiaTheme="minorHAnsi" w:hAnsi="Times New Roman"/>
          <w:sz w:val="28"/>
          <w:szCs w:val="28"/>
          <w:lang w:eastAsia="en-US"/>
        </w:rPr>
        <w:t>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w:t>
      </w:r>
      <w:r w:rsidR="00061E0C">
        <w:rPr>
          <w:rFonts w:ascii="Times New Roman" w:eastAsiaTheme="minorHAnsi" w:hAnsi="Times New Roman"/>
          <w:sz w:val="28"/>
          <w:szCs w:val="28"/>
          <w:lang w:eastAsia="en-US"/>
        </w:rPr>
        <w:t>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r w:rsidR="00061E0C">
        <w:rPr>
          <w:rFonts w:ascii="Times New Roman" w:eastAsiaTheme="minorHAnsi" w:hAnsi="Times New Roman"/>
          <w:sz w:val="28"/>
          <w:szCs w:val="28"/>
          <w:lang w:eastAsia="en-US"/>
        </w:rPr>
        <w:t>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w:t>
      </w:r>
      <w:r w:rsidR="00061E0C">
        <w:rPr>
          <w:rFonts w:ascii="Times New Roman" w:eastAsiaTheme="minorHAnsi" w:hAnsi="Times New Roman"/>
          <w:sz w:val="28"/>
          <w:szCs w:val="28"/>
          <w:lang w:eastAsia="en-US"/>
        </w:rPr>
        <w:t>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Заявитель обратился </w:t>
            </w:r>
            <w:r w:rsidRPr="000D1AC7">
              <w:rPr>
                <w:rFonts w:ascii="Times New Roman" w:hAnsi="Times New Roman"/>
                <w:sz w:val="28"/>
                <w:szCs w:val="28"/>
              </w:rPr>
              <w:lastRenderedPageBreak/>
              <w:t>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 xml:space="preserve">За предоставлением </w:t>
            </w:r>
            <w:r w:rsidRPr="000D1AC7">
              <w:rPr>
                <w:rFonts w:ascii="Times New Roman" w:hAnsi="Times New Roman"/>
                <w:sz w:val="28"/>
                <w:szCs w:val="28"/>
              </w:rPr>
              <w:lastRenderedPageBreak/>
              <w:t>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BB7C32">
      <w:headerReference w:type="default" r:id="rId9"/>
      <w:footerReference w:type="default" r:id="rId10"/>
      <w:footerReference w:type="first" r:id="rId11"/>
      <w:pgSz w:w="11906" w:h="16838"/>
      <w:pgMar w:top="170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92" w:rsidRDefault="004E1692" w:rsidP="009476CE">
      <w:r>
        <w:separator/>
      </w:r>
    </w:p>
  </w:endnote>
  <w:endnote w:type="continuationSeparator" w:id="0">
    <w:p w:rsidR="004E1692" w:rsidRDefault="004E169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4E1692" w:rsidRDefault="004E1692">
        <w:pPr>
          <w:pStyle w:val="ab"/>
          <w:jc w:val="center"/>
        </w:pPr>
        <w:r>
          <w:fldChar w:fldCharType="begin"/>
        </w:r>
        <w:r>
          <w:instrText>PAGE   \* MERGEFORMAT</w:instrText>
        </w:r>
        <w:r>
          <w:fldChar w:fldCharType="separate"/>
        </w:r>
        <w:r w:rsidR="00F00800">
          <w:rPr>
            <w:noProof/>
          </w:rPr>
          <w:t>2</w:t>
        </w:r>
        <w:r>
          <w:fldChar w:fldCharType="end"/>
        </w:r>
      </w:p>
    </w:sdtContent>
  </w:sdt>
  <w:p w:rsidR="004E1692" w:rsidRDefault="004E169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4E1692" w:rsidRDefault="004E1692">
        <w:pPr>
          <w:pStyle w:val="ab"/>
          <w:jc w:val="center"/>
        </w:pPr>
        <w:r>
          <w:fldChar w:fldCharType="begin"/>
        </w:r>
        <w:r>
          <w:instrText>PAGE   \* MERGEFORMAT</w:instrText>
        </w:r>
        <w:r>
          <w:fldChar w:fldCharType="separate"/>
        </w:r>
        <w:r w:rsidR="00F00800">
          <w:rPr>
            <w:noProof/>
          </w:rPr>
          <w:t>1</w:t>
        </w:r>
        <w:r>
          <w:fldChar w:fldCharType="end"/>
        </w:r>
      </w:p>
    </w:sdtContent>
  </w:sdt>
  <w:p w:rsidR="004E1692" w:rsidRDefault="004E16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92" w:rsidRDefault="004E1692" w:rsidP="009476CE">
      <w:r>
        <w:separator/>
      </w:r>
    </w:p>
  </w:footnote>
  <w:footnote w:type="continuationSeparator" w:id="0">
    <w:p w:rsidR="004E1692" w:rsidRDefault="004E169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4E1692" w:rsidRDefault="004E1692">
        <w:pPr>
          <w:pStyle w:val="a9"/>
          <w:jc w:val="center"/>
        </w:pPr>
        <w:r>
          <w:fldChar w:fldCharType="begin"/>
        </w:r>
        <w:r>
          <w:instrText>PAGE   \* MERGEFORMAT</w:instrText>
        </w:r>
        <w:r>
          <w:fldChar w:fldCharType="separate"/>
        </w:r>
        <w:r w:rsidR="00F00800">
          <w:rPr>
            <w:noProof/>
          </w:rPr>
          <w:t>2</w:t>
        </w:r>
        <w:r>
          <w:fldChar w:fldCharType="end"/>
        </w:r>
      </w:p>
    </w:sdtContent>
  </w:sdt>
  <w:p w:rsidR="004E1692" w:rsidRDefault="004E16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61E0C"/>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1692"/>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1867"/>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3906"/>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5E07"/>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B7C32"/>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0800"/>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6FF7-4FCF-4191-9B97-AA1C4E2A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58</Pages>
  <Words>16903</Words>
  <Characters>96351</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Людмила</cp:lastModifiedBy>
  <cp:revision>26</cp:revision>
  <cp:lastPrinted>2023-06-18T09:43:00Z</cp:lastPrinted>
  <dcterms:created xsi:type="dcterms:W3CDTF">2023-07-24T15:02:00Z</dcterms:created>
  <dcterms:modified xsi:type="dcterms:W3CDTF">2023-08-24T07:53:00Z</dcterms:modified>
</cp:coreProperties>
</file>