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СОВЕТ  НАРОДНЫХ  ДЕПУТАТОВ</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ВЕРХНЕКАРАЧАНСКОГО СЕЛЬСКОГО ПОСЕЛЕНИЯ</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ГРИБАНОВСКОГО МУНИЦИПАЛЬНОГО РАЙОНА </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ВОРОНЕЖСКОЙ ОБЛАСТИ</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Р Е Ш Е Н И Е </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от 04.12.2015 года № 25</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 Верхний Карачан</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О пенсионном обеспечении лица, замещавшего выборную муниципальную должность на постоянной основе в  Верхнекарачанском сельском поселении Грибановского муниципального района</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28.12.2013 N 400-ФЗ "О страховых пенсиях", Законом РФ от 19.04.1991 N 1032-1 "О занятости населения в Российской Федерации", Законом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Совет народных депутатов</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РЕШИЛ:</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 Утвердить </w:t>
      </w:r>
      <w:hyperlink r:id="rId5" w:history="1">
        <w:r>
          <w:rPr>
            <w:rStyle w:val="a4"/>
            <w:rFonts w:ascii="Arial" w:hAnsi="Arial" w:cs="Arial"/>
            <w:color w:val="0F314D"/>
            <w:sz w:val="20"/>
            <w:szCs w:val="20"/>
          </w:rPr>
          <w:t>Положение</w:t>
        </w:r>
      </w:hyperlink>
      <w:r>
        <w:rPr>
          <w:rFonts w:ascii="Arial" w:hAnsi="Arial" w:cs="Arial"/>
          <w:color w:val="000000"/>
          <w:sz w:val="20"/>
          <w:szCs w:val="20"/>
        </w:rPr>
        <w:t> о пенсионном обеспечении лица, замещавшего выборную муниципальную должность на постоянной основе в   Верхнекарачанском сельском поселении Грибановского муниципального района, согласно приложению.</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Определить уполномоченным органом, осуществляющим назначение и выплату доплаты к пенсии по старости (инвалидности), предусмотренную настоящим Положением, администрацию Верхнекарачанского сельского поселения Грибановского муниципального района.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 Администрации Верхнекарачанского сельского поселения Грибановского муниципального района  ежегодно предусматривать при формировании бюджета Верхнекарачанского сельского поселения Грибановского муниципального района на соответствующий финансовый год и плановый период  расходы на доплату к пенсии по старости (инвалидности) лицам, замещавшим выборные муниципальные  должности на постоянной основе в Верхнекарачанском сельском поселении Грибановского муниципального района и имеющих право на доплату к пенсии в соответствии с действующим законодательством и настоящим Положением.</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 Признать утратившим силу решение Совета народных депутатов Верхнекарачанского сельского поселения Грибановского муниципального района от 30.12.2013 г. № 209 «Об утверждении Положения о пенсионном обеспечении выборных должностных лиц местного самоуправления Верхнекарачанского сельского поселения Грибановского муниципального района».</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 Решение вступает в силу с 01 января 2016 года.</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Глава сельского поселения                                             Е.В. Степанищева</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Приложение</w:t>
      </w:r>
    </w:p>
    <w:p w:rsidR="0075573A" w:rsidRDefault="0075573A" w:rsidP="0075573A">
      <w:pPr>
        <w:pStyle w:val="a3"/>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к решению Совета народных депутатов</w:t>
      </w:r>
    </w:p>
    <w:p w:rsidR="0075573A" w:rsidRDefault="0075573A" w:rsidP="0075573A">
      <w:pPr>
        <w:pStyle w:val="a3"/>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Верхнекарачанского сельского поселения</w:t>
      </w:r>
    </w:p>
    <w:p w:rsidR="0075573A" w:rsidRDefault="0075573A" w:rsidP="0075573A">
      <w:pPr>
        <w:pStyle w:val="a3"/>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Грибановского муниципального района</w:t>
      </w:r>
    </w:p>
    <w:p w:rsidR="0075573A" w:rsidRDefault="0075573A" w:rsidP="0075573A">
      <w:pPr>
        <w:pStyle w:val="a3"/>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Воронежской области</w:t>
      </w:r>
    </w:p>
    <w:p w:rsidR="0075573A" w:rsidRDefault="0075573A" w:rsidP="0075573A">
      <w:pPr>
        <w:pStyle w:val="a3"/>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от 04.12.2015 г. №25</w:t>
      </w:r>
    </w:p>
    <w:p w:rsidR="0075573A" w:rsidRDefault="0075573A" w:rsidP="0075573A">
      <w:pPr>
        <w:pStyle w:val="a3"/>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ПОЛОЖЕНИЕ</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t>О ПЕНСИОННОМ ОБЕСПЕЧЕНИИ ЛИЦА, ЗАМЕЩАВШЕГО ВЫБОРНУЮ МУНИЦИПАЛЬНУЮ ДОЛЖНОСТЬ НА ПОСТОЯННОЙ ОСНОВЕ В   ВЕРХНЕКАРАЧАНСКОМ СЕЛЬСКОМ ПОСЕЛЕНИИ ГРИБАНОВСКОГО МУНИЦИПАЛЬНОГО РАЙОНА</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1. Общие положения</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1.1. Настоящее Положение о пенсионном обеспечении лица, замещавшего выборную муниципальную должность на постоянной основе в   Верхнекарачанском сельском поселении Грибановского муниципального района (далее - Положение) устанавливает условия, порядок назначения и размер пенсионного обеспечения 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в   Верхнекарачанском сельском поселении Грибановского муниципального района (далее - лицо, замещавшее выборную муниципальную должность на постоянной основе).</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1.2. Финансирование пенсионного обеспечения лица, замещавшего выборную муниципальную должность на постоянной основе производится за счет средств бюджета   Верхнекарачанского сельского поселения Грибановского муниципального района в соответствии с нормативным правовым актом Совета народных депутатов Верхнекарачанского сельского поселения Грибановского муниципального района о бюджете Верхнекарачанского сельского поселения Грибановского муниципального района на очередной финансовый год и плановый период.</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2. Условия и порядок назначения пенсионного обеспечения</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2.1. Лицу,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w:t>
      </w:r>
      <w:hyperlink r:id="rId6" w:history="1">
        <w:r>
          <w:rPr>
            <w:rStyle w:val="a4"/>
            <w:rFonts w:ascii="Arial" w:hAnsi="Arial" w:cs="Arial"/>
            <w:color w:val="0F314D"/>
            <w:sz w:val="20"/>
            <w:szCs w:val="20"/>
          </w:rPr>
          <w:t>законом</w:t>
        </w:r>
      </w:hyperlink>
      <w:r>
        <w:rPr>
          <w:rFonts w:ascii="Arial" w:hAnsi="Arial" w:cs="Arial"/>
          <w:color w:val="000000"/>
          <w:sz w:val="20"/>
          <w:szCs w:val="20"/>
        </w:rPr>
        <w:t> "О страховых пенсиях", либо к пенсии, назначенной в соответствии со </w:t>
      </w:r>
      <w:hyperlink r:id="rId7" w:history="1">
        <w:r>
          <w:rPr>
            <w:rStyle w:val="a4"/>
            <w:rFonts w:ascii="Arial" w:hAnsi="Arial" w:cs="Arial"/>
            <w:color w:val="0F314D"/>
            <w:sz w:val="20"/>
            <w:szCs w:val="20"/>
          </w:rPr>
          <w:t>статьей 32</w:t>
        </w:r>
      </w:hyperlink>
      <w:r>
        <w:rPr>
          <w:rFonts w:ascii="Arial" w:hAnsi="Arial" w:cs="Arial"/>
          <w:color w:val="000000"/>
          <w:sz w:val="20"/>
          <w:szCs w:val="20"/>
        </w:rPr>
        <w:t> Закона Российской Федерации "О занятости населения в Российской Федерации".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2.2. Право на доплату к страховой пенсии по старости (инвалидности) либо к пенсии, назначаемой в соответствии со </w:t>
      </w:r>
      <w:hyperlink r:id="rId8" w:history="1">
        <w:r>
          <w:rPr>
            <w:rStyle w:val="a4"/>
            <w:rFonts w:ascii="Arial" w:hAnsi="Arial" w:cs="Arial"/>
            <w:color w:val="0F314D"/>
            <w:sz w:val="20"/>
            <w:szCs w:val="20"/>
          </w:rPr>
          <w:t>статьей 32</w:t>
        </w:r>
      </w:hyperlink>
      <w:r>
        <w:rPr>
          <w:rFonts w:ascii="Arial" w:hAnsi="Arial" w:cs="Arial"/>
          <w:color w:val="000000"/>
          <w:sz w:val="20"/>
          <w:szCs w:val="20"/>
        </w:rPr>
        <w:t> Закона Российской Федерации "О занятости населения в Российской Федерации" (далее по тексту – доплата к пенсии) имеет лицо:</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(в том числе досрочно), за исключением случаев прекращения полномочий, связанных с виновными действиями,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при наличии стажа муниципальной службы не менее 15 лет.</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 В стаж муниципальной службы для назначения доплаты к страховой пенсии, указанной в пункте 2.1. настоящего Положения, включаются периоды работы (службы), установленные законодательством Воронежской области о порядке исчисления стажа муниципальной службы и зачета в него иных периодов трудовой деятельности для назначения муниципальным служащим в Воронежской области пенсии за выслугу лет.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2.4. Лицам, имеющим одновременно право на доплату к страховой пенсии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доплата к страховой пенсии в соответствии с настоящим Положением или одна из иных указанных выплат по их выбору.</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2.5. Доплата к пенсии назначается:</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2.5.1. к страховой пенсии по старости - пожизненно;</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2.5.2. к страховой пенсии по инвалидности - на срок установления инвалидности;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2.5.3. Доплата к пенсии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9" w:history="1">
        <w:r>
          <w:rPr>
            <w:rStyle w:val="a4"/>
            <w:rFonts w:ascii="Arial" w:hAnsi="Arial" w:cs="Arial"/>
            <w:color w:val="0F314D"/>
            <w:sz w:val="20"/>
            <w:szCs w:val="20"/>
          </w:rPr>
          <w:t>статьей 32</w:t>
        </w:r>
      </w:hyperlink>
      <w:r>
        <w:rPr>
          <w:rFonts w:ascii="Arial" w:hAnsi="Arial" w:cs="Arial"/>
          <w:color w:val="000000"/>
          <w:sz w:val="20"/>
          <w:szCs w:val="20"/>
        </w:rPr>
        <w:t> Закона Российской Федерации "О занятости населения в Российской Федерации", на срок установления указанной пенсии.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2.6. Доплата к пенсии назначается с первого числа месяца, в котором лицо, имеющее право на данную доплату, обратилось за ней, но не ранее чем со дня возникновения права на нее.</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2.7. 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w:t>
      </w:r>
      <w:r>
        <w:rPr>
          <w:rFonts w:ascii="Arial" w:hAnsi="Arial" w:cs="Arial"/>
          <w:color w:val="000000"/>
          <w:sz w:val="20"/>
          <w:szCs w:val="20"/>
        </w:rPr>
        <w:lastRenderedPageBreak/>
        <w:t>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2.8. Назначение и выплата доплаты к пенсии производится администрацией Верхнекарачанского сельского поселения в порядке, предусмотренном нормативным правовым актом Верхнекарачанского сельского поселения Грибановского муниципального района.</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3. Среднемесячный заработок, из которого исчисляется размер доплаты к пенсии.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3.1. 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месяцу прекращения полномочий либо месяцу достижения им возраста, дающего право на страховую пенсию, предусмотренную Федеральным </w:t>
      </w:r>
      <w:hyperlink r:id="rId10" w:history="1">
        <w:r>
          <w:rPr>
            <w:rStyle w:val="a4"/>
            <w:rFonts w:ascii="Arial" w:hAnsi="Arial" w:cs="Arial"/>
            <w:color w:val="0F314D"/>
            <w:sz w:val="20"/>
            <w:szCs w:val="20"/>
          </w:rPr>
          <w:t>законом</w:t>
        </w:r>
      </w:hyperlink>
      <w:r>
        <w:rPr>
          <w:rFonts w:ascii="Arial" w:hAnsi="Arial" w:cs="Arial"/>
          <w:color w:val="000000"/>
          <w:sz w:val="20"/>
          <w:szCs w:val="20"/>
        </w:rPr>
        <w:t> «О страховых пенсиях».</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3.2. 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 месяцу прекращения полномочий либо месяцу достижения возраста, дающего право на страховую пенсию, предусмотренную Федеральным </w:t>
      </w:r>
      <w:hyperlink r:id="rId11" w:history="1">
        <w:r>
          <w:rPr>
            <w:rStyle w:val="a4"/>
            <w:rFonts w:ascii="Arial" w:hAnsi="Arial" w:cs="Arial"/>
            <w:color w:val="0F314D"/>
            <w:sz w:val="20"/>
            <w:szCs w:val="20"/>
          </w:rPr>
          <w:t>законом</w:t>
        </w:r>
      </w:hyperlink>
      <w:r>
        <w:rPr>
          <w:rFonts w:ascii="Arial" w:hAnsi="Arial" w:cs="Arial"/>
          <w:color w:val="000000"/>
          <w:sz w:val="20"/>
          <w:szCs w:val="20"/>
        </w:rPr>
        <w:t> «О страховых пенсиях».</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3.3.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месяцу прекращения полномочий либо дню достижения возраста, дающего право на назначение страховой пенсии по старости (инвалидности):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а) ежемесячное денежное вознаграждение;</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б) ежемесячное денежное поощрение в размере, установленном </w:t>
      </w:r>
      <w:hyperlink r:id="rId12" w:anchor="Par45" w:history="1">
        <w:r>
          <w:rPr>
            <w:rStyle w:val="a4"/>
            <w:rFonts w:ascii="Arial" w:hAnsi="Arial" w:cs="Arial"/>
            <w:color w:val="0F314D"/>
            <w:sz w:val="20"/>
            <w:szCs w:val="20"/>
          </w:rPr>
          <w:t>пунктом 3.4</w:t>
        </w:r>
      </w:hyperlink>
      <w:r>
        <w:rPr>
          <w:rFonts w:ascii="Arial" w:hAnsi="Arial" w:cs="Arial"/>
          <w:color w:val="000000"/>
          <w:sz w:val="20"/>
          <w:szCs w:val="20"/>
        </w:rPr>
        <w:t> Положения.</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 премии, материальная помощь.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3.4. Для расчета среднемесячного заработка учитывается фактически начисленное ежемесячное денежное поощрение за фактически отработанное время в размере, не превышающем трех должностных окладов, при выработке установленной месячной нормы рабочего времени.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3.5. При исчислении среднемесячного заработка из расчетного периода исключаются:</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период временной нетрудоспособности;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 время нахождения в отпуске по беременности и родам;</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время нахождения в отпуске по уходу за ребенком до достижения им установленного </w:t>
      </w:r>
      <w:hyperlink r:id="rId13" w:history="1">
        <w:r>
          <w:rPr>
            <w:rStyle w:val="a4"/>
            <w:rFonts w:ascii="Arial" w:hAnsi="Arial" w:cs="Arial"/>
            <w:color w:val="0F314D"/>
            <w:sz w:val="20"/>
            <w:szCs w:val="20"/>
          </w:rPr>
          <w:t>законом</w:t>
        </w:r>
      </w:hyperlink>
      <w:r>
        <w:rPr>
          <w:rFonts w:ascii="Arial" w:hAnsi="Arial" w:cs="Arial"/>
          <w:color w:val="000000"/>
          <w:sz w:val="20"/>
          <w:szCs w:val="20"/>
        </w:rPr>
        <w:t>возраста;</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время нахождения в отпуске без сохранения денежного вознаграждения;</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время исполнения в соответствии с законодательством Российской Федерации должностных обязанностей с сохранением среднего заработка.</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трудовой пенсии.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3.6. В случае если расчетный период состоит из временных периодов, указанных в </w:t>
      </w:r>
      <w:hyperlink r:id="rId14" w:anchor="Par46" w:history="1">
        <w:r>
          <w:rPr>
            <w:rStyle w:val="a4"/>
            <w:rFonts w:ascii="Arial" w:hAnsi="Arial" w:cs="Arial"/>
            <w:color w:val="0F314D"/>
            <w:sz w:val="20"/>
            <w:szCs w:val="20"/>
          </w:rPr>
          <w:t>пункте 3.5</w:t>
        </w:r>
      </w:hyperlink>
      <w:r>
        <w:rPr>
          <w:rFonts w:ascii="Arial" w:hAnsi="Arial" w:cs="Arial"/>
          <w:color w:val="000000"/>
          <w:sz w:val="20"/>
          <w:szCs w:val="20"/>
        </w:rPr>
        <w:t>Положения,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а) исходя из среднемесячного заработка, исчисленного за предшествующий период, равный расчетному;</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б) исходя из фактически установленного ему денежного вознаграждения в расчетном периоде.</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3.7. Если расчетный период отработан полностью, то размер среднемесячного заработка для исчисления доплаты к трудовой пенсии определяется путем деления суммы денежного вознаграждения и денежного поощрения, начисленного в расчетном периоде, на 12.</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3.8. Если расчетный период отработан не полностью, то размер среднемесячного заработка для исчисления доплаты к трудовой пенсии определяется путем деления суммы денежного вознаграждения и денежного поощрения, начисленного в расчетном периоде, на фактически отработанные в этом периоде рабочие дни и умножается на 21 (среднемесячное количество рабочих дней в году).</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4. Размер доплаты к пенсии.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4.1. Доплата к пенсии лицам, замещавшим выборные муниципальные должности на постоянной основе, назначается при наличии стажа муниципальной службы не менее 15 лет в размере 45 процентов их среднемесячного заработка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5" w:history="1">
        <w:r>
          <w:rPr>
            <w:rStyle w:val="a4"/>
            <w:rFonts w:ascii="Arial" w:hAnsi="Arial" w:cs="Arial"/>
            <w:color w:val="0F314D"/>
            <w:sz w:val="20"/>
            <w:szCs w:val="20"/>
          </w:rPr>
          <w:t>законом</w:t>
        </w:r>
      </w:hyperlink>
      <w:r>
        <w:rPr>
          <w:rFonts w:ascii="Arial" w:hAnsi="Arial" w:cs="Arial"/>
          <w:color w:val="000000"/>
          <w:sz w:val="20"/>
          <w:szCs w:val="20"/>
        </w:rPr>
        <w:t> "О страховых пенсиях". За каждый полный год стажа муниципальной службы сверх 15 лет доплата к пенсии увеличивается на 3 процента среднего 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лица, замещающего выборную муниципальную должность на постоянной основе.</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4.2. Размер доплаты к пенсии исчисляется, исходя из 0,8 среднемесячного заработка, рассчитанного по нормам Положения, с учетом продолжительности стажа муниципальной службы.</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6" w:history="1">
        <w:r>
          <w:rPr>
            <w:rStyle w:val="a4"/>
            <w:rFonts w:ascii="Arial" w:hAnsi="Arial" w:cs="Arial"/>
            <w:color w:val="0F314D"/>
            <w:sz w:val="20"/>
            <w:szCs w:val="20"/>
          </w:rPr>
          <w:t>законом</w:t>
        </w:r>
      </w:hyperlink>
      <w:r>
        <w:rPr>
          <w:rFonts w:ascii="Arial" w:hAnsi="Arial" w:cs="Arial"/>
          <w:color w:val="000000"/>
          <w:sz w:val="20"/>
          <w:szCs w:val="20"/>
        </w:rPr>
        <w:t> "О трудовых пенсиях в Российской Федерации", размер доли страховой пенсии, установленной и исчисленной в соответствии с Федеральным </w:t>
      </w:r>
      <w:hyperlink r:id="rId17" w:history="1">
        <w:r>
          <w:rPr>
            <w:rStyle w:val="a4"/>
            <w:rFonts w:ascii="Arial" w:hAnsi="Arial" w:cs="Arial"/>
            <w:color w:val="0F314D"/>
            <w:sz w:val="20"/>
            <w:szCs w:val="20"/>
          </w:rPr>
          <w:t>законом</w:t>
        </w:r>
      </w:hyperlink>
      <w:r>
        <w:rPr>
          <w:rFonts w:ascii="Arial" w:hAnsi="Arial" w:cs="Arial"/>
          <w:color w:val="000000"/>
          <w:sz w:val="20"/>
          <w:szCs w:val="20"/>
        </w:rPr>
        <w:t>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4.3. Лицам, замещавшим выборные муниципальные должности на постоянной основе, которым назначена пенсия в соответствии со </w:t>
      </w:r>
      <w:hyperlink r:id="rId18" w:history="1">
        <w:r>
          <w:rPr>
            <w:rStyle w:val="a4"/>
            <w:rFonts w:ascii="Arial" w:hAnsi="Arial" w:cs="Arial"/>
            <w:color w:val="0F314D"/>
            <w:sz w:val="20"/>
            <w:szCs w:val="20"/>
          </w:rPr>
          <w:t>статьей 32</w:t>
        </w:r>
      </w:hyperlink>
      <w:r>
        <w:rPr>
          <w:rFonts w:ascii="Arial" w:hAnsi="Arial" w:cs="Arial"/>
          <w:color w:val="000000"/>
          <w:sz w:val="20"/>
          <w:szCs w:val="20"/>
        </w:rPr>
        <w:t> Закона Российской Федерации "О занятости населения в Российской Федерации", устанавливается доплата к данной пенсии в том же порядке и на тех же условиях, что и доплата к страховой пенсии.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4.4. Размер доплаты к пенсии не может быть ниже фиксированной выплаты к страховой пенсии, предусмотренной </w:t>
      </w:r>
      <w:hyperlink r:id="rId19" w:history="1">
        <w:r>
          <w:rPr>
            <w:rStyle w:val="a4"/>
            <w:rFonts w:ascii="Arial" w:hAnsi="Arial" w:cs="Arial"/>
            <w:color w:val="0F314D"/>
            <w:sz w:val="20"/>
            <w:szCs w:val="20"/>
          </w:rPr>
          <w:t>частью 1 статьи 16</w:t>
        </w:r>
      </w:hyperlink>
      <w:r>
        <w:rPr>
          <w:rFonts w:ascii="Arial" w:hAnsi="Arial" w:cs="Arial"/>
          <w:color w:val="000000"/>
          <w:sz w:val="20"/>
          <w:szCs w:val="20"/>
        </w:rPr>
        <w:t> Федерального закона "О страховых пенсиях".</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5. Порядок индексации и перерасчета доплаты</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к пенсии.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 органах местного самоуправления Верхнекарачанского сельского поселения Грибановского муниципального района</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путем индексации размера среднемесячного заработка, из которого исчислялась доплата к пенсии.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5.2. Уполномоченный орган, осуществляющий выплату доплаты к пенсии, производит ее перерасчет в соответствии с нормативным правовым актом администрации о проведении индексации.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5.3. Порядок индексации и перерасчета доплаты к пенсии определяется нормативным правовым актом администрации Верхнекарачанского сельского поселения.</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6. Назначение доплаты к пенсии.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6.1. Назначение доплаты к пенсии производится по заявлению лица, имеющего право на данную пенсию, на имя руководителя уполномоченного органа в порядке, предусмотренном нормативным правовым актом администрации.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6.2. Уполномоченный орган осуществляет доплату к пенсии на основании распоряжения администрации (наименование муниципального образования) о назначении доплаты к пенсии. </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7. Срок назначения доплаты к пенсии.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7.1. Доплата к пенсии назначается с первого числа месяца, в котором лицо, имеющее право на данную пенсию, обратилось за ней, но не ранее чем со дня возникновения права на нее.</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8.     Приостановление и возобновление выплаты доплаты к пенсии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8.1. 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w:t>
      </w:r>
      <w:r>
        <w:rPr>
          <w:rFonts w:ascii="Arial" w:hAnsi="Arial" w:cs="Arial"/>
          <w:color w:val="000000"/>
          <w:sz w:val="20"/>
          <w:szCs w:val="20"/>
        </w:rPr>
        <w:lastRenderedPageBreak/>
        <w:t>Федерации осуществляются назначение и выплата доплаты к пенсии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8.2. Лицо, получающее доплату к пенсии и назначенное на одну из указанных в части 8.1. настоящей статьи должностей, обязано в 5-дневный срок сообщить об этом в письменной форме руководителю уполномоченного органа.</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8.3. Суммы доплаты к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8.4. При последующем освобождении от указанных должностей выплата доплаты к пенсии возобновляется на прежних условиях по заявлению лица или вновь устанавливается в соответствии с настоящим Положением.</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9. Прекращение и восстановление доплаты к пенсии</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9.1. Выплата доплаты к пенсии прекращается лицу, которому в соответствии с законодательством Российской Федерации и Воронежской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9.2. Лицо, которому назначены указанные выплаты, в 5 -дневный срок сообщает об этом руководителю уполномоченного органа.</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9.3. Выплата доплаты к пенсии восстанавливается при изменении обстоятельств, препятствующих данной выплате.</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9.4. В случае смерти лица, получавшего доплату к пенсии, ее выплата прекращается уполномоченным органом с первого числа месяца, следующего за тем, в котором наступила смерть этого лица.</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10. Заключительные положения</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10.1. Лицам, замещавшим выборные муниципальные должности на постоянной основе, которым в соответствии с ранее действовавшими правовыми актами органов местного самоуправления Верхнекарачанского сельского поселения была назначена пенсия за выслугу лет, вместо пенсии за выслугу лет устанавливается доплата к пенсии и производится ее перерасчет исходя из размера месячного денежного содержания (денежного вознаграждения), из которого была исчислена пенсия за выслугу лет, по нормам, предусмотренным Положением.</w:t>
      </w:r>
    </w:p>
    <w:p w:rsidR="0075573A" w:rsidRDefault="0075573A" w:rsidP="0075573A">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10.2. В случае, предусмотренном п.10.1. Положения право на доплату к пенсии не требует дополнительного подтверждения. </w:t>
      </w:r>
    </w:p>
    <w:p w:rsidR="006B07A6" w:rsidRPr="0075573A" w:rsidRDefault="006B07A6" w:rsidP="0075573A">
      <w:bookmarkStart w:id="0" w:name="_GoBack"/>
      <w:bookmarkEnd w:id="0"/>
    </w:p>
    <w:sectPr w:rsidR="006B07A6" w:rsidRPr="00755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340755"/>
    <w:rsid w:val="005B007E"/>
    <w:rsid w:val="006B07A6"/>
    <w:rsid w:val="0075573A"/>
    <w:rsid w:val="00832A2D"/>
    <w:rsid w:val="00865499"/>
    <w:rsid w:val="00930288"/>
    <w:rsid w:val="009A313B"/>
    <w:rsid w:val="00A0539D"/>
    <w:rsid w:val="00A83D3E"/>
    <w:rsid w:val="00CE7543"/>
    <w:rsid w:val="00EB3284"/>
    <w:rsid w:val="00ED00D2"/>
    <w:rsid w:val="00FB452B"/>
    <w:rsid w:val="00FC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DC79CFD12949371F11D8B53E18FFBC306EACA8ACFA7AF56225AF7D6B696B8E1CF97454C973E9FDo4j5N" TargetMode="External"/><Relationship Id="rId13" Type="http://schemas.openxmlformats.org/officeDocument/2006/relationships/hyperlink" Target="consultantplus://offline/ref=B86F2220B2F686F543A2F6565D3D01C41D2EE10709D56A6668BBD7F6B952552C36D538DD1E3Cn5MEG" TargetMode="External"/><Relationship Id="rId18" Type="http://schemas.openxmlformats.org/officeDocument/2006/relationships/hyperlink" Target="consultantplus://offline/ref=EA80437DFC3EB0AD873EA81D5DD277A41F7507FE4EB15B6F33939B38242DE93E16A20E5DD8D85BDDS6x5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89003A6775DB0EF6BB034D426971B79C4CFC79F0989ECEDFF76C8D3939052DC4BEECB7CAAC661D1mBg7N" TargetMode="External"/><Relationship Id="rId12" Type="http://schemas.openxmlformats.org/officeDocument/2006/relationships/hyperlink" Target="http://verkarachan.ru/documents/decision/detail.php?id=369758" TargetMode="External"/><Relationship Id="rId17" Type="http://schemas.openxmlformats.org/officeDocument/2006/relationships/hyperlink" Target="consultantplus://offline/ref=68F28F76AEEED6A9D016EA6E9FE82015F08AC6F51284E098775B0142B2B873G" TargetMode="External"/><Relationship Id="rId2" Type="http://schemas.microsoft.com/office/2007/relationships/stylesWithEffects" Target="stylesWithEffects.xml"/><Relationship Id="rId16" Type="http://schemas.openxmlformats.org/officeDocument/2006/relationships/hyperlink" Target="consultantplus://offline/ref=68F28F76AEEED6A9D016EA6E9FE82015F08AC6F91180E098775B0142B2B873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89003A6775DB0EF6BB034D426971B79C4CCC4920D8FECEDFF76C8D393m9g0N" TargetMode="External"/><Relationship Id="rId11" Type="http://schemas.openxmlformats.org/officeDocument/2006/relationships/hyperlink" Target="consultantplus://offline/ref=4C2E579E1C3F28D6A094A604669184D0BF859826635850C56B4CFFD25376o3M" TargetMode="External"/><Relationship Id="rId5" Type="http://schemas.openxmlformats.org/officeDocument/2006/relationships/hyperlink" Target="consultantplus://offline/ref=4B00F2A1268C6EE20B35CD6A71B517230898B0627C047BCB285AEDC361B73D24088C635DD41A845661EA0CZAiEM" TargetMode="External"/><Relationship Id="rId15" Type="http://schemas.openxmlformats.org/officeDocument/2006/relationships/hyperlink" Target="consultantplus://offline/ref=620789E6F1B4C8B3565C48DB6C0ED96318268F8F132769C7B044EA4B4FIA35G" TargetMode="External"/><Relationship Id="rId10" Type="http://schemas.openxmlformats.org/officeDocument/2006/relationships/hyperlink" Target="consultantplus://offline/ref=4C2E579E1C3F28D6A094A604669184D0BF859826635850C56B4CFFD25376o3M" TargetMode="External"/><Relationship Id="rId19" Type="http://schemas.openxmlformats.org/officeDocument/2006/relationships/hyperlink" Target="consultantplus://offline/ref=E0F1E435C5B7F922FB962CC1B4A753BCE75D5F95CC1EA45700AAC2EF8764E1CE3AC3005FC16784C0LEv5G" TargetMode="External"/><Relationship Id="rId4" Type="http://schemas.openxmlformats.org/officeDocument/2006/relationships/webSettings" Target="webSettings.xml"/><Relationship Id="rId9" Type="http://schemas.openxmlformats.org/officeDocument/2006/relationships/hyperlink" Target="consultantplus://offline/ref=78706713F6B81C800C90108BF3F916807CA93CD3E599DBB9FC3780008D5AC92E82DA0FD347627CCEIDh9G" TargetMode="External"/><Relationship Id="rId14" Type="http://schemas.openxmlformats.org/officeDocument/2006/relationships/hyperlink" Target="http://verkarachan.ru/documents/decision/detail.php?id=369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2987</Words>
  <Characters>17031</Characters>
  <Application>Microsoft Office Word</Application>
  <DocSecurity>0</DocSecurity>
  <Lines>141</Lines>
  <Paragraphs>39</Paragraphs>
  <ScaleCrop>false</ScaleCrop>
  <Company>SPecialiST RePack</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2018-05-03T16:05:00Z</dcterms:created>
  <dcterms:modified xsi:type="dcterms:W3CDTF">2018-05-03T16:19:00Z</dcterms:modified>
</cp:coreProperties>
</file>