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467825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89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2670E1" w:rsidRPr="00467825" w:rsidRDefault="00A570DA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ВЕРХНЕКАРАЧАНСКОГО </w:t>
      </w:r>
      <w:r w:rsidR="002670E1"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467825" w:rsidRDefault="008922A7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26.11.2018 года № 139</w:t>
      </w:r>
    </w:p>
    <w:p w:rsidR="002670E1" w:rsidRPr="00467825" w:rsidRDefault="00A570DA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46782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административные реглам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енты 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46782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услуг»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органов местного</w:t>
      </w:r>
      <w:r w:rsidR="00A5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proofErr w:type="spellStart"/>
      <w:r w:rsidR="00A5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</w:t>
      </w:r>
      <w:proofErr w:type="gram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467825" w:rsidRDefault="00D94026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46782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B40FB" w:rsidRPr="00467825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2B40FB"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467825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6F26E1"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31.12.2015 г. № 353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6F26E1"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6F26E1" w:rsidRPr="00467825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27.11.2015 г. № 330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1A1902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467825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- 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29.09.2015 г. № 261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467825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31.12.2015 г. № 357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</w:t>
      </w:r>
      <w:proofErr w:type="gramEnd"/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2670E1" w:rsidRPr="00467825" w:rsidRDefault="006F26E1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31.12.2015 г. № 352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2670E1" w:rsidRPr="0046782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70E1"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467825" w:rsidRPr="00467825" w:rsidRDefault="0039093C" w:rsidP="00467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25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1.3.1 пункта 1.3. раздела 1 административного регламента дополнить текстом следующего содержания:</w:t>
      </w:r>
    </w:p>
    <w:p w:rsidR="00467825" w:rsidRPr="00467825" w:rsidRDefault="00467825" w:rsidP="00467825">
      <w:pPr>
        <w:pStyle w:val="ConsPlusNormal"/>
        <w:ind w:firstLine="540"/>
        <w:jc w:val="both"/>
      </w:pPr>
      <w:r w:rsidRPr="00467825">
        <w:rPr>
          <w:szCs w:val="28"/>
        </w:rPr>
        <w:t>«</w:t>
      </w:r>
      <w:r w:rsidRPr="00467825">
        <w:t>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13.45.».</w:t>
      </w:r>
    </w:p>
    <w:p w:rsidR="00ED22F4" w:rsidRPr="00467825" w:rsidRDefault="00467825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подпункта 3.2.1 Регламента изложить 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4678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67825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467825" w:rsidRDefault="00DC5273" w:rsidP="00DC5273">
      <w:pPr>
        <w:pStyle w:val="ConsPlusTitle"/>
        <w:ind w:firstLine="709"/>
        <w:jc w:val="both"/>
        <w:outlineLvl w:val="1"/>
        <w:rPr>
          <w:szCs w:val="28"/>
        </w:rPr>
      </w:pPr>
      <w:r w:rsidRPr="00467825">
        <w:rPr>
          <w:szCs w:val="28"/>
        </w:rPr>
        <w:t xml:space="preserve"> </w:t>
      </w:r>
      <w:r w:rsidR="00AC6541" w:rsidRPr="00467825">
        <w:rPr>
          <w:szCs w:val="28"/>
        </w:rPr>
        <w:t xml:space="preserve">«5. </w:t>
      </w:r>
      <w:proofErr w:type="gramStart"/>
      <w:r w:rsidR="00AC6541" w:rsidRPr="00467825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5.1. </w:t>
      </w:r>
      <w:proofErr w:type="gramStart"/>
      <w:r w:rsidRPr="00467825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467825">
        <w:rPr>
          <w:szCs w:val="28"/>
        </w:rPr>
        <w:t>администрации сельского поселения</w:t>
      </w:r>
      <w:r w:rsidRPr="00467825">
        <w:rPr>
          <w:szCs w:val="28"/>
        </w:rPr>
        <w:t xml:space="preserve">, должностного лица либо муниципальных служащих </w:t>
      </w:r>
      <w:r w:rsidR="00AC6541" w:rsidRPr="00467825">
        <w:rPr>
          <w:szCs w:val="28"/>
        </w:rPr>
        <w:t>администрации сельского поселения</w:t>
      </w:r>
      <w:r w:rsidRPr="00467825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5.2. Заявитель может обратиться с </w:t>
      </w:r>
      <w:proofErr w:type="gramStart"/>
      <w:r w:rsidRPr="00467825">
        <w:rPr>
          <w:szCs w:val="28"/>
        </w:rPr>
        <w:t>жалобой</w:t>
      </w:r>
      <w:proofErr w:type="gramEnd"/>
      <w:r w:rsidRPr="00467825">
        <w:rPr>
          <w:szCs w:val="28"/>
        </w:rPr>
        <w:t xml:space="preserve"> в том числе в следующих случаях: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</w:t>
      </w:r>
      <w:r w:rsidR="00A570DA">
        <w:rPr>
          <w:szCs w:val="28"/>
        </w:rPr>
        <w:t xml:space="preserve"> самоуправления </w:t>
      </w:r>
      <w:proofErr w:type="spellStart"/>
      <w:r w:rsidR="00A570DA">
        <w:rPr>
          <w:szCs w:val="28"/>
        </w:rPr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 для предоставления муниципальной услуги;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A570DA">
        <w:rPr>
          <w:szCs w:val="28"/>
        </w:rPr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для предоставления муниципальной услуги, у заявителя;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A570DA">
        <w:rPr>
          <w:szCs w:val="28"/>
        </w:rPr>
        <w:lastRenderedPageBreak/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A570DA">
        <w:rPr>
          <w:szCs w:val="28"/>
        </w:rPr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отказ </w:t>
      </w:r>
      <w:r w:rsidR="00A570DA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1400D7">
        <w:rPr>
          <w:szCs w:val="28"/>
        </w:rPr>
        <w:t xml:space="preserve">органов местного самоуправления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szCs w:val="28"/>
        </w:rPr>
        <w:t>;</w:t>
      </w:r>
      <w:proofErr w:type="gramEnd"/>
    </w:p>
    <w:p w:rsidR="00776502" w:rsidRPr="00467825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776502" w:rsidRPr="004678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части 1 статьи 7 </w:t>
      </w:r>
      <w:r w:rsidR="00BF4C56" w:rsidRPr="0046782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46782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5.4. Оснований для отказа в рассмотрении жалобы не имеется.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Жалоба на решения и действия (бездействие)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467825">
        <w:rPr>
          <w:szCs w:val="28"/>
        </w:rPr>
        <w:t xml:space="preserve"> личном </w:t>
      </w:r>
      <w:proofErr w:type="gramStart"/>
      <w:r w:rsidRPr="00467825">
        <w:rPr>
          <w:szCs w:val="28"/>
        </w:rPr>
        <w:t>приеме</w:t>
      </w:r>
      <w:proofErr w:type="gramEnd"/>
      <w:r w:rsidRPr="00467825">
        <w:rPr>
          <w:szCs w:val="28"/>
        </w:rPr>
        <w:t xml:space="preserve"> заявителя.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5.6. Жалоба должна содержать: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наименование органа, предоставляющего муниципальную услугу (</w:t>
      </w:r>
      <w:r w:rsidR="001400D7">
        <w:rPr>
          <w:szCs w:val="28"/>
        </w:rPr>
        <w:t xml:space="preserve">администрация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), должностного лица либо муниципального служащего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МФЦ, его руководителя и (или) работника, привлекаемых </w:t>
      </w:r>
      <w:r w:rsidRPr="00467825">
        <w:rPr>
          <w:szCs w:val="28"/>
        </w:rPr>
        <w:lastRenderedPageBreak/>
        <w:t>организаций, их руководителей и (или) работников, решения и действия (бездействие) которых обжалуются;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сведения об обжалуемых решениях и действиях (бездействии)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</w:t>
      </w:r>
      <w:r w:rsidR="001400D7">
        <w:rPr>
          <w:szCs w:val="28"/>
        </w:rPr>
        <w:t xml:space="preserve">кого поселения главе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 в сети Интернет и информационных стендах.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</w:t>
      </w:r>
      <w:r w:rsidR="00467825" w:rsidRPr="00467825">
        <w:rPr>
          <w:szCs w:val="28"/>
        </w:rPr>
        <w:t>подпункте 1.3.1 пункта 1.3.</w:t>
      </w:r>
      <w:r w:rsidRPr="00467825">
        <w:rPr>
          <w:szCs w:val="28"/>
        </w:rPr>
        <w:t xml:space="preserve">  настояще</w:t>
      </w:r>
      <w:r w:rsidR="00467825" w:rsidRPr="00467825">
        <w:rPr>
          <w:szCs w:val="28"/>
        </w:rPr>
        <w:t>го</w:t>
      </w:r>
      <w:r w:rsidRPr="00467825">
        <w:rPr>
          <w:szCs w:val="28"/>
        </w:rPr>
        <w:t xml:space="preserve"> Административно</w:t>
      </w:r>
      <w:r w:rsidR="00467825" w:rsidRPr="00467825">
        <w:rPr>
          <w:szCs w:val="28"/>
        </w:rPr>
        <w:t>го</w:t>
      </w:r>
      <w:r w:rsidRPr="00467825">
        <w:rPr>
          <w:szCs w:val="28"/>
        </w:rPr>
        <w:t xml:space="preserve"> регламент</w:t>
      </w:r>
      <w:r w:rsidR="00467825" w:rsidRPr="00467825">
        <w:rPr>
          <w:szCs w:val="28"/>
        </w:rPr>
        <w:t>а</w:t>
      </w:r>
      <w:r w:rsidRPr="00467825">
        <w:rPr>
          <w:szCs w:val="28"/>
        </w:rPr>
        <w:t>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Жалобы на решения и действия (бездействие) работников привлекаемых </w:t>
      </w:r>
      <w:r w:rsidRPr="00467825">
        <w:rPr>
          <w:szCs w:val="28"/>
        </w:rPr>
        <w:lastRenderedPageBreak/>
        <w:t>организаций подаются руководителям этих организаций.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467825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а также в иных формах;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2) в удовлетворении жалобы отказывается.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5.10. </w:t>
      </w:r>
      <w:proofErr w:type="gramStart"/>
      <w:r w:rsidRPr="00467825">
        <w:rPr>
          <w:szCs w:val="28"/>
        </w:rPr>
        <w:t>Жалоба, поступившая в администрацию</w:t>
      </w:r>
      <w:r w:rsidR="00DC5273" w:rsidRPr="00467825">
        <w:rPr>
          <w:szCs w:val="28"/>
        </w:rPr>
        <w:t xml:space="preserve">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67825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467825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467825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7825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467825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467825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467825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467825" w:rsidRDefault="00337613" w:rsidP="00337613">
      <w:pPr>
        <w:pStyle w:val="ConsPlusNormal"/>
        <w:ind w:firstLine="709"/>
        <w:jc w:val="both"/>
        <w:rPr>
          <w:szCs w:val="28"/>
        </w:rPr>
      </w:pPr>
      <w:r w:rsidRPr="00467825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467825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67825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</w:t>
      </w:r>
      <w:r w:rsidRPr="00467825">
        <w:rPr>
          <w:rFonts w:eastAsia="Calibri"/>
          <w:szCs w:val="28"/>
          <w:lang w:eastAsia="en-US"/>
        </w:rPr>
        <w:lastRenderedPageBreak/>
        <w:t>органы прокуратуры.</w:t>
      </w:r>
      <w:r w:rsidR="0039093C" w:rsidRPr="00467825">
        <w:rPr>
          <w:szCs w:val="28"/>
        </w:rPr>
        <w:t>».</w:t>
      </w:r>
    </w:p>
    <w:p w:rsidR="002670E1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46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46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Pr="00467825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467825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2670E1" w:rsidRDefault="001400D7" w:rsidP="00140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400D7"/>
    <w:rsid w:val="001A1902"/>
    <w:rsid w:val="001F3D3A"/>
    <w:rsid w:val="002670E1"/>
    <w:rsid w:val="002B40FB"/>
    <w:rsid w:val="00337613"/>
    <w:rsid w:val="00382ACF"/>
    <w:rsid w:val="0039093C"/>
    <w:rsid w:val="00427135"/>
    <w:rsid w:val="00467825"/>
    <w:rsid w:val="004D64A7"/>
    <w:rsid w:val="00674AA7"/>
    <w:rsid w:val="006E4829"/>
    <w:rsid w:val="006F26E1"/>
    <w:rsid w:val="00766A18"/>
    <w:rsid w:val="00776502"/>
    <w:rsid w:val="007E5DA1"/>
    <w:rsid w:val="00815A01"/>
    <w:rsid w:val="008922A7"/>
    <w:rsid w:val="008D3B74"/>
    <w:rsid w:val="009D58F7"/>
    <w:rsid w:val="00A570DA"/>
    <w:rsid w:val="00AC6541"/>
    <w:rsid w:val="00BF4C56"/>
    <w:rsid w:val="00C43FE9"/>
    <w:rsid w:val="00CA4207"/>
    <w:rsid w:val="00CB4823"/>
    <w:rsid w:val="00D94026"/>
    <w:rsid w:val="00DC5273"/>
    <w:rsid w:val="00E7488B"/>
    <w:rsid w:val="00ED22F4"/>
    <w:rsid w:val="00F10E42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24</cp:revision>
  <dcterms:created xsi:type="dcterms:W3CDTF">2018-10-30T11:31:00Z</dcterms:created>
  <dcterms:modified xsi:type="dcterms:W3CDTF">2018-11-28T06:40:00Z</dcterms:modified>
</cp:coreProperties>
</file>