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C94544"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ВЕРХНЕКАРАЧАНСКОГО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w:t>
      </w:r>
      <w:r w:rsidR="00BE1C57">
        <w:rPr>
          <w:rFonts w:ascii="Times New Roman" w:eastAsia="Times New Roman" w:hAnsi="Times New Roman" w:cs="Times New Roman"/>
          <w:sz w:val="28"/>
          <w:szCs w:val="28"/>
          <w:lang w:eastAsia="ru-RU"/>
        </w:rPr>
        <w:t>22</w:t>
      </w:r>
      <w:r w:rsidRPr="0047005F">
        <w:rPr>
          <w:rFonts w:ascii="Times New Roman" w:eastAsia="Times New Roman" w:hAnsi="Times New Roman" w:cs="Times New Roman"/>
          <w:sz w:val="28"/>
          <w:szCs w:val="28"/>
          <w:lang w:eastAsia="ru-RU"/>
        </w:rPr>
        <w:t xml:space="preserve">» </w:t>
      </w:r>
      <w:r w:rsidR="00BE1C57">
        <w:rPr>
          <w:rFonts w:ascii="Times New Roman" w:eastAsia="Times New Roman" w:hAnsi="Times New Roman" w:cs="Times New Roman"/>
          <w:sz w:val="28"/>
          <w:szCs w:val="28"/>
          <w:lang w:eastAsia="ru-RU"/>
        </w:rPr>
        <w:t xml:space="preserve">ноября </w:t>
      </w:r>
      <w:r w:rsidRPr="0047005F">
        <w:rPr>
          <w:rFonts w:ascii="Times New Roman" w:eastAsia="Times New Roman" w:hAnsi="Times New Roman" w:cs="Times New Roman"/>
          <w:sz w:val="28"/>
          <w:szCs w:val="28"/>
          <w:lang w:eastAsia="ru-RU"/>
        </w:rPr>
        <w:t xml:space="preserve">2023 г. № </w:t>
      </w:r>
      <w:r w:rsidR="00BE1C57">
        <w:rPr>
          <w:rFonts w:ascii="Times New Roman" w:eastAsia="Times New Roman" w:hAnsi="Times New Roman" w:cs="Times New Roman"/>
          <w:sz w:val="28"/>
          <w:szCs w:val="28"/>
          <w:lang w:eastAsia="ru-RU"/>
        </w:rPr>
        <w:t>150</w:t>
      </w:r>
    </w:p>
    <w:p w:rsidR="00330100" w:rsidRPr="0047005F" w:rsidRDefault="00C94544" w:rsidP="004700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Верхний Карачан</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C94544" w:rsidRPr="00C94544">
        <w:rPr>
          <w:rFonts w:eastAsia="Times New Roman"/>
          <w:lang w:eastAsia="ru-RU"/>
        </w:rPr>
        <w:t>Верхнекарачанского</w:t>
      </w:r>
      <w:proofErr w:type="spellEnd"/>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C94544" w:rsidP="00C94544">
            <w:pPr>
              <w:widowControl w:val="0"/>
              <w:spacing w:after="0" w:line="240" w:lineRule="auto"/>
              <w:ind w:firstLine="709"/>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Е.В. Степанищева</w:t>
            </w:r>
          </w:p>
        </w:tc>
      </w:tr>
    </w:tbl>
    <w:p w:rsidR="00A80944" w:rsidRDefault="00A80944" w:rsidP="00C94544">
      <w:pPr>
        <w:spacing w:after="0" w:line="240" w:lineRule="auto"/>
        <w:ind w:firstLine="709"/>
        <w:jc w:val="right"/>
        <w:rPr>
          <w:rFonts w:ascii="Times New Roman" w:eastAsia="Arial Unicode MS" w:hAnsi="Times New Roman" w:cs="Times New Roman"/>
          <w:sz w:val="28"/>
          <w:szCs w:val="28"/>
          <w:lang w:eastAsia="ru-RU" w:bidi="ru-RU"/>
        </w:rPr>
      </w:pPr>
    </w:p>
    <w:p w:rsidR="007625EA" w:rsidRPr="007625EA" w:rsidRDefault="00C94544" w:rsidP="00C94544">
      <w:pPr>
        <w:spacing w:after="0" w:line="240" w:lineRule="auto"/>
        <w:ind w:firstLine="709"/>
        <w:jc w:val="right"/>
        <w:rPr>
          <w:rFonts w:ascii="Times New Roman" w:eastAsia="Arial Unicode MS" w:hAnsi="Times New Roman" w:cs="Times New Roman"/>
          <w:sz w:val="28"/>
          <w:szCs w:val="28"/>
          <w:lang w:eastAsia="ru-RU" w:bidi="ru-RU"/>
        </w:rPr>
      </w:pPr>
      <w:bookmarkStart w:id="0" w:name="_GoBack"/>
      <w:bookmarkEnd w:id="0"/>
      <w:r>
        <w:rPr>
          <w:rFonts w:ascii="Times New Roman" w:eastAsia="Arial Unicode MS" w:hAnsi="Times New Roman" w:cs="Times New Roman"/>
          <w:sz w:val="28"/>
          <w:szCs w:val="28"/>
          <w:lang w:eastAsia="ru-RU" w:bidi="ru-RU"/>
        </w:rPr>
        <w:lastRenderedPageBreak/>
        <w:t>При</w:t>
      </w:r>
      <w:r w:rsidR="007625EA" w:rsidRPr="007625EA">
        <w:rPr>
          <w:rFonts w:ascii="Times New Roman" w:eastAsia="Arial Unicode MS" w:hAnsi="Times New Roman" w:cs="Times New Roman"/>
          <w:sz w:val="28"/>
          <w:szCs w:val="28"/>
          <w:lang w:eastAsia="ru-RU" w:bidi="ru-RU"/>
        </w:rPr>
        <w:t>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C94544"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proofErr w:type="spellStart"/>
      <w:r w:rsidRPr="00C94544">
        <w:rPr>
          <w:rFonts w:ascii="Times New Roman" w:eastAsia="Arial Unicode MS" w:hAnsi="Times New Roman" w:cs="Times New Roman"/>
          <w:sz w:val="28"/>
          <w:szCs w:val="28"/>
          <w:lang w:eastAsia="ru-RU" w:bidi="ru-RU"/>
        </w:rPr>
        <w:t>Верхнекарачанского</w:t>
      </w:r>
      <w:proofErr w:type="spellEnd"/>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w:t>
      </w:r>
      <w:r w:rsidR="00BE1C57">
        <w:rPr>
          <w:rFonts w:ascii="Times New Roman" w:eastAsia="Arial Unicode MS" w:hAnsi="Times New Roman" w:cs="Times New Roman"/>
          <w:sz w:val="28"/>
          <w:szCs w:val="28"/>
          <w:lang w:eastAsia="ru-RU" w:bidi="ru-RU"/>
        </w:rPr>
        <w:t>22</w:t>
      </w:r>
      <w:r w:rsidRPr="007625EA">
        <w:rPr>
          <w:rFonts w:ascii="Times New Roman" w:eastAsia="Arial Unicode MS" w:hAnsi="Times New Roman" w:cs="Times New Roman"/>
          <w:sz w:val="28"/>
          <w:szCs w:val="28"/>
          <w:lang w:eastAsia="ru-RU" w:bidi="ru-RU"/>
        </w:rPr>
        <w:t>»</w:t>
      </w:r>
      <w:r w:rsidR="00BE1C57">
        <w:rPr>
          <w:rFonts w:ascii="Times New Roman" w:eastAsia="Arial Unicode MS" w:hAnsi="Times New Roman" w:cs="Times New Roman"/>
          <w:sz w:val="28"/>
          <w:szCs w:val="28"/>
          <w:lang w:eastAsia="ru-RU" w:bidi="ru-RU"/>
        </w:rPr>
        <w:t xml:space="preserve"> ноября </w:t>
      </w:r>
      <w:r w:rsidRPr="007625EA">
        <w:rPr>
          <w:rFonts w:ascii="Times New Roman" w:eastAsia="Arial Unicode MS" w:hAnsi="Times New Roman" w:cs="Times New Roman"/>
          <w:sz w:val="28"/>
          <w:szCs w:val="28"/>
          <w:lang w:eastAsia="ru-RU" w:bidi="ru-RU"/>
        </w:rPr>
        <w:t xml:space="preserve">2023 г. № </w:t>
      </w:r>
      <w:r w:rsidR="00BE1C57">
        <w:rPr>
          <w:rFonts w:ascii="Times New Roman" w:eastAsia="Arial Unicode MS" w:hAnsi="Times New Roman" w:cs="Times New Roman"/>
          <w:sz w:val="28"/>
          <w:szCs w:val="28"/>
          <w:lang w:eastAsia="ru-RU" w:bidi="ru-RU"/>
        </w:rPr>
        <w:t>150</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r w:rsidR="007625EA" w:rsidRPr="0047005F">
        <w:rPr>
          <w:rFonts w:ascii="Times New Roman" w:eastAsia="Times New Roman" w:hAnsi="Times New Roman" w:cs="Times New Roman"/>
          <w:sz w:val="28"/>
          <w:szCs w:val="28"/>
          <w:lang w:eastAsia="ru-RU"/>
        </w:rPr>
        <w:t>сельского</w:t>
      </w:r>
      <w:proofErr w:type="spellEnd"/>
      <w:r w:rsidR="007625EA" w:rsidRPr="0047005F">
        <w:rPr>
          <w:rFonts w:ascii="Times New Roman" w:eastAsia="Times New Roman" w:hAnsi="Times New Roman" w:cs="Times New Roman"/>
          <w:sz w:val="28"/>
          <w:szCs w:val="28"/>
          <w:lang w:eastAsia="ru-RU"/>
        </w:rPr>
        <w:t xml:space="preserve">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w:t>
      </w:r>
      <w:r w:rsidR="000E2917">
        <w:rPr>
          <w:rFonts w:ascii="Times New Roman" w:hAnsi="Times New Roman" w:cs="Times New Roman"/>
          <w:sz w:val="28"/>
          <w:szCs w:val="28"/>
        </w:rPr>
        <w:t>ном сайте Администрации (https://verhkar-grib.ru</w:t>
      </w:r>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47005F">
        <w:rPr>
          <w:rFonts w:ascii="Times New Roman" w:hAnsi="Times New Roman" w:cs="Times New Roman"/>
          <w:sz w:val="28"/>
          <w:szCs w:val="28"/>
        </w:rPr>
        <w:lastRenderedPageBreak/>
        <w:t>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 xml:space="preserve">2006 № </w:t>
      </w:r>
      <w:r w:rsidRPr="0047005F">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proofErr w:type="spellStart"/>
      <w:r w:rsidR="00C94544" w:rsidRPr="00C94544">
        <w:rPr>
          <w:rFonts w:ascii="Times New Roman" w:eastAsia="Times New Roman" w:hAnsi="Times New Roman" w:cs="Times New Roman"/>
          <w:sz w:val="28"/>
          <w:szCs w:val="28"/>
          <w:lang w:eastAsia="ru-RU"/>
        </w:rPr>
        <w:t>Верхнекарачанского</w:t>
      </w:r>
      <w:proofErr w:type="spellEnd"/>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C94544" w:rsidRPr="00C94544">
        <w:rPr>
          <w:rFonts w:ascii="Times New Roman" w:eastAsia="Times New Roman" w:hAnsi="Times New Roman" w:cs="Times New Roman"/>
          <w:sz w:val="28"/>
          <w:szCs w:val="28"/>
          <w:lang w:eastAsia="ru-RU"/>
        </w:rPr>
        <w:t>Верхнекарачанского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7005F">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005F">
        <w:rPr>
          <w:rFonts w:ascii="Times New Roman" w:hAnsi="Times New Roman" w:cs="Times New Roman"/>
          <w:sz w:val="28"/>
          <w:szCs w:val="28"/>
        </w:rPr>
        <w:lastRenderedPageBreak/>
        <w:t>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47005F">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w:t>
      </w:r>
      <w:r w:rsidRPr="0047005F">
        <w:rPr>
          <w:rFonts w:ascii="Times New Roman" w:hAnsi="Times New Roman" w:cs="Times New Roman"/>
          <w:sz w:val="28"/>
          <w:szCs w:val="28"/>
        </w:rPr>
        <w:lastRenderedPageBreak/>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lastRenderedPageBreak/>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47005F">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E" w:rsidRDefault="00926A6E" w:rsidP="00D757D1">
      <w:pPr>
        <w:spacing w:after="0" w:line="240" w:lineRule="auto"/>
      </w:pPr>
      <w:r>
        <w:separator/>
      </w:r>
    </w:p>
  </w:endnote>
  <w:endnote w:type="continuationSeparator" w:id="0">
    <w:p w:rsidR="00926A6E" w:rsidRDefault="00926A6E"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E" w:rsidRDefault="00926A6E" w:rsidP="00D757D1">
      <w:pPr>
        <w:spacing w:after="0" w:line="240" w:lineRule="auto"/>
      </w:pPr>
      <w:r>
        <w:separator/>
      </w:r>
    </w:p>
  </w:footnote>
  <w:footnote w:type="continuationSeparator" w:id="0">
    <w:p w:rsidR="00926A6E" w:rsidRDefault="00926A6E"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A80944">
          <w:rPr>
            <w:noProof/>
          </w:rPr>
          <w:t>44</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E2917"/>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8094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E1C57"/>
    <w:rsid w:val="00BF5030"/>
    <w:rsid w:val="00C24946"/>
    <w:rsid w:val="00C40D31"/>
    <w:rsid w:val="00C86336"/>
    <w:rsid w:val="00C94544"/>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F291-54B8-4E6C-A0F3-1E7AB94F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44</Pages>
  <Words>13659</Words>
  <Characters>77859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Людмила</cp:lastModifiedBy>
  <cp:revision>39</cp:revision>
  <cp:lastPrinted>2023-11-23T13:16:00Z</cp:lastPrinted>
  <dcterms:created xsi:type="dcterms:W3CDTF">2023-06-14T13:57:00Z</dcterms:created>
  <dcterms:modified xsi:type="dcterms:W3CDTF">2023-11-23T13:17:00Z</dcterms:modified>
</cp:coreProperties>
</file>