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2D66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2D663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</w:t>
      </w:r>
    </w:p>
    <w:p w:rsidR="00A60745" w:rsidRPr="00263035" w:rsidRDefault="002D6633" w:rsidP="002D663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2D663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2D663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2019 года № __ </w:t>
      </w:r>
    </w:p>
    <w:p w:rsidR="00A60745" w:rsidRPr="00263035" w:rsidRDefault="002D6633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 w:rsidR="002D6633">
        <w:rPr>
          <w:rFonts w:ascii="Times New Roman" w:hAnsi="Times New Roman" w:cs="Times New Roman"/>
          <w:bCs/>
          <w:sz w:val="28"/>
          <w:szCs w:val="28"/>
        </w:rPr>
        <w:t xml:space="preserve">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7F0F70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</w:t>
      </w:r>
      <w:r w:rsidR="002D6633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63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D663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Формированию, ведению, а также опубликованию П</w:t>
      </w:r>
      <w:r w:rsidR="002D6633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D66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63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2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2D6633">
        <w:rPr>
          <w:rFonts w:ascii="Times New Roman" w:hAnsi="Times New Roman" w:cs="Times New Roman"/>
          <w:bCs/>
          <w:sz w:val="28"/>
          <w:szCs w:val="28"/>
        </w:rPr>
        <w:t xml:space="preserve"> от 23.03.2017 года № 35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8"/>
        <w:gridCol w:w="3312"/>
        <w:gridCol w:w="3346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2D6633" w:rsidP="002D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2D663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Верхнекарачанского</w:t>
      </w:r>
      <w:proofErr w:type="spellEnd"/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от ________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№___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ПЕРЕЧНЯ МУНИЦИПАЛ</w:t>
      </w:r>
      <w:r w:rsidR="002D6633">
        <w:rPr>
          <w:rFonts w:ascii="Times New Roman" w:hAnsi="Times New Roman" w:cs="Times New Roman"/>
          <w:bCs/>
          <w:sz w:val="28"/>
          <w:szCs w:val="28"/>
        </w:rPr>
        <w:t>ЬНОГО ИМУЩЕСТВА ВЕРХНЕКАРАЧАНСКОГО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Верхнекарачанскому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Верхнекарачанском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2D66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</w:t>
      </w:r>
      <w:r w:rsidR="002D6633">
        <w:rPr>
          <w:rFonts w:ascii="Times New Roman" w:hAnsi="Times New Roman" w:cs="Times New Roman"/>
          <w:sz w:val="28"/>
          <w:szCs w:val="28"/>
        </w:rPr>
        <w:t xml:space="preserve">ень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</w:t>
      </w:r>
      <w:r w:rsidR="002D6633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коллегиального</w:t>
      </w:r>
      <w:r w:rsidR="002D6633">
        <w:rPr>
          <w:rFonts w:ascii="Times New Roman" w:hAnsi="Times New Roman" w:cs="Times New Roman"/>
          <w:sz w:val="28"/>
          <w:szCs w:val="28"/>
        </w:rPr>
        <w:t xml:space="preserve"> органа в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 Све</w:t>
      </w:r>
      <w:r w:rsidR="002D6633">
        <w:rPr>
          <w:rFonts w:ascii="Times New Roman" w:hAnsi="Times New Roman" w:cs="Times New Roman"/>
          <w:sz w:val="28"/>
          <w:szCs w:val="28"/>
        </w:rPr>
        <w:t xml:space="preserve">дения о муниципальном имуществе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bookmarkStart w:id="4" w:name="_GoBack"/>
      <w:bookmarkEnd w:id="4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_______________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от ________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№___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____________________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от «___»_____ 2019 г. № ___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 ____________________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_______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0" w:rsidRDefault="007F0F70" w:rsidP="00F3264B">
      <w:pPr>
        <w:spacing w:after="0" w:line="240" w:lineRule="auto"/>
      </w:pPr>
      <w:r>
        <w:separator/>
      </w:r>
    </w:p>
  </w:endnote>
  <w:endnote w:type="continuationSeparator" w:id="0">
    <w:p w:rsidR="007F0F70" w:rsidRDefault="007F0F7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0" w:rsidRDefault="007F0F70" w:rsidP="00F3264B">
      <w:pPr>
        <w:spacing w:after="0" w:line="240" w:lineRule="auto"/>
      </w:pPr>
      <w:r>
        <w:separator/>
      </w:r>
    </w:p>
  </w:footnote>
  <w:footnote w:type="continuationSeparator" w:id="0">
    <w:p w:rsidR="007F0F70" w:rsidRDefault="007F0F70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33">
          <w:rPr>
            <w:noProof/>
          </w:rPr>
          <w:t>10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2138"/>
    <w:rsid w:val="001A541B"/>
    <w:rsid w:val="00263035"/>
    <w:rsid w:val="002A5EAF"/>
    <w:rsid w:val="002C5EDB"/>
    <w:rsid w:val="002C6C17"/>
    <w:rsid w:val="002D6633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0F70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D403-E9FD-4F2A-8B29-42F8E148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15</cp:revision>
  <cp:lastPrinted>2019-03-04T05:24:00Z</cp:lastPrinted>
  <dcterms:created xsi:type="dcterms:W3CDTF">2019-03-04T05:26:00Z</dcterms:created>
  <dcterms:modified xsi:type="dcterms:W3CDTF">2019-04-10T08:09:00Z</dcterms:modified>
</cp:coreProperties>
</file>