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B33DA6" w:rsidP="003B7706">
      <w:pPr>
        <w:ind w:firstLine="709"/>
        <w:jc w:val="center"/>
        <w:rPr>
          <w:rFonts w:ascii="Times New Roman" w:hAnsi="Times New Roman"/>
          <w:sz w:val="28"/>
          <w:szCs w:val="28"/>
        </w:rPr>
      </w:pPr>
      <w:r>
        <w:rPr>
          <w:rFonts w:ascii="Times New Roman" w:hAnsi="Times New Roman"/>
          <w:sz w:val="28"/>
          <w:szCs w:val="28"/>
        </w:rPr>
        <w:t>ВЕРХНЕКАРАЧАНСКОГО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7E2302" w:rsidP="003B7706">
      <w:pPr>
        <w:tabs>
          <w:tab w:val="left" w:pos="1172"/>
        </w:tabs>
        <w:ind w:firstLine="709"/>
        <w:rPr>
          <w:rFonts w:ascii="Times New Roman" w:hAnsi="Times New Roman"/>
          <w:sz w:val="28"/>
          <w:szCs w:val="28"/>
        </w:rPr>
      </w:pPr>
      <w:r>
        <w:rPr>
          <w:rFonts w:ascii="Times New Roman" w:hAnsi="Times New Roman"/>
          <w:sz w:val="28"/>
          <w:szCs w:val="28"/>
        </w:rPr>
        <w:t>« 02 » ноября  2023 г. № 135</w:t>
      </w:r>
    </w:p>
    <w:p w:rsidR="003D7FD6" w:rsidRPr="003B7706" w:rsidRDefault="00B33DA6" w:rsidP="003B7706">
      <w:pPr>
        <w:ind w:firstLine="709"/>
        <w:rPr>
          <w:rFonts w:ascii="Times New Roman" w:hAnsi="Times New Roman"/>
          <w:sz w:val="28"/>
          <w:szCs w:val="28"/>
        </w:rPr>
      </w:pPr>
      <w:r>
        <w:rPr>
          <w:rFonts w:ascii="Times New Roman" w:hAnsi="Times New Roman"/>
          <w:sz w:val="28"/>
          <w:szCs w:val="28"/>
        </w:rPr>
        <w:t>с. Верхний Карачан</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proofErr w:type="spellStart"/>
      <w:r w:rsidR="00B33DA6">
        <w:rPr>
          <w:rFonts w:ascii="Times New Roman" w:eastAsia="Arial Unicode MS" w:hAnsi="Times New Roman"/>
          <w:sz w:val="28"/>
          <w:szCs w:val="28"/>
          <w:lang w:bidi="ru-RU"/>
        </w:rPr>
        <w:t>Верхнекарачанского</w:t>
      </w:r>
      <w:proofErr w:type="spellEnd"/>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33DA6" w:rsidRPr="00B33DA6">
        <w:t>Верхнекарачанского</w:t>
      </w:r>
      <w:proofErr w:type="spellEnd"/>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proofErr w:type="spellStart"/>
      <w:r w:rsidR="00B33DA6" w:rsidRPr="00B33DA6">
        <w:t>Верхнекарачанского</w:t>
      </w:r>
      <w:proofErr w:type="spellEnd"/>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proofErr w:type="spellStart"/>
      <w:r w:rsidR="00B33DA6" w:rsidRPr="00B33DA6">
        <w:rPr>
          <w:rFonts w:ascii="Times New Roman" w:hAnsi="Times New Roman"/>
          <w:sz w:val="28"/>
          <w:szCs w:val="28"/>
        </w:rPr>
        <w:t>Верхнекарачанского</w:t>
      </w:r>
      <w:proofErr w:type="spellEnd"/>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w:t>
      </w:r>
      <w:r w:rsidR="00C87901">
        <w:rPr>
          <w:rFonts w:ascii="Times New Roman" w:hAnsi="Times New Roman"/>
          <w:sz w:val="28"/>
          <w:szCs w:val="28"/>
        </w:rPr>
        <w:t>24»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C87901">
        <w:rPr>
          <w:rFonts w:ascii="Times New Roman" w:hAnsi="Times New Roman"/>
          <w:sz w:val="28"/>
          <w:szCs w:val="28"/>
        </w:rPr>
        <w:t>65</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proofErr w:type="spellStart"/>
      <w:r w:rsidR="00B33DA6" w:rsidRPr="00B33DA6">
        <w:rPr>
          <w:rFonts w:ascii="Times New Roman" w:eastAsia="SimSun" w:hAnsi="Times New Roman"/>
          <w:bCs/>
          <w:kern w:val="28"/>
          <w:sz w:val="28"/>
          <w:szCs w:val="28"/>
          <w:lang w:eastAsia="hi-IN" w:bidi="hi-IN"/>
        </w:rPr>
        <w:t>Верхнекарачанского</w:t>
      </w:r>
      <w:proofErr w:type="spellEnd"/>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B33DA6" w:rsidRPr="00B33DA6">
        <w:rPr>
          <w:rFonts w:ascii="Times New Roman" w:hAnsi="Times New Roman"/>
          <w:sz w:val="28"/>
          <w:szCs w:val="28"/>
        </w:rPr>
        <w:t>Верхнекарачанского</w:t>
      </w:r>
      <w:proofErr w:type="spellEnd"/>
      <w:r w:rsidR="00B33DA6" w:rsidRPr="00B33DA6">
        <w:rPr>
          <w:rFonts w:ascii="Times New Roman" w:hAnsi="Times New Roman"/>
          <w:sz w:val="28"/>
          <w:szCs w:val="28"/>
        </w:rPr>
        <w:t xml:space="preserve"> </w:t>
      </w:r>
      <w:r w:rsidRPr="003B7706">
        <w:rPr>
          <w:rFonts w:ascii="Times New Roman" w:hAnsi="Times New Roman"/>
          <w:sz w:val="28"/>
          <w:szCs w:val="28"/>
        </w:rPr>
        <w:t xml:space="preserve">сельского поселения и размещения на официальном сайте </w:t>
      </w:r>
      <w:proofErr w:type="spellStart"/>
      <w:r w:rsidR="00B33DA6" w:rsidRPr="00B33DA6">
        <w:rPr>
          <w:rFonts w:ascii="Times New Roman" w:hAnsi="Times New Roman"/>
          <w:sz w:val="28"/>
          <w:szCs w:val="28"/>
        </w:rPr>
        <w:t>Верхнекарачанского</w:t>
      </w:r>
      <w:proofErr w:type="spellEnd"/>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B33DA6" w:rsidP="003B7706">
            <w:pPr>
              <w:ind w:firstLine="709"/>
              <w:rPr>
                <w:rFonts w:ascii="Times New Roman" w:hAnsi="Times New Roman"/>
                <w:sz w:val="28"/>
                <w:szCs w:val="28"/>
                <w:lang w:eastAsia="en-US"/>
              </w:rPr>
            </w:pPr>
            <w:r>
              <w:rPr>
                <w:rFonts w:ascii="Times New Roman" w:hAnsi="Times New Roman"/>
                <w:sz w:val="28"/>
                <w:szCs w:val="28"/>
                <w:lang w:eastAsia="en-US"/>
              </w:rPr>
              <w:t xml:space="preserve"> Е.В. Степанищева</w:t>
            </w:r>
            <w:r w:rsidR="00624A13"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B33DA6" w:rsidP="003B7706">
      <w:pPr>
        <w:ind w:firstLine="709"/>
        <w:jc w:val="right"/>
        <w:rPr>
          <w:rFonts w:ascii="Times New Roman" w:hAnsi="Times New Roman"/>
          <w:sz w:val="28"/>
          <w:szCs w:val="28"/>
        </w:rPr>
      </w:pPr>
      <w:proofErr w:type="spellStart"/>
      <w:r w:rsidRPr="00B33DA6">
        <w:rPr>
          <w:rFonts w:ascii="Times New Roman" w:hAnsi="Times New Roman"/>
          <w:sz w:val="28"/>
          <w:szCs w:val="28"/>
        </w:rPr>
        <w:t>Верхнекарачанского</w:t>
      </w:r>
      <w:proofErr w:type="spellEnd"/>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bookmarkStart w:id="0" w:name="_GoBack"/>
      <w:bookmarkEnd w:id="0"/>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w:t>
      </w:r>
      <w:r w:rsidR="007E2302">
        <w:rPr>
          <w:rFonts w:ascii="Times New Roman" w:hAnsi="Times New Roman"/>
          <w:sz w:val="28"/>
          <w:szCs w:val="28"/>
        </w:rPr>
        <w:t xml:space="preserve"> 02 </w:t>
      </w:r>
      <w:r w:rsidRPr="003B7706">
        <w:rPr>
          <w:rFonts w:ascii="Times New Roman" w:hAnsi="Times New Roman"/>
          <w:sz w:val="28"/>
          <w:szCs w:val="28"/>
        </w:rPr>
        <w:t>»</w:t>
      </w:r>
      <w:r w:rsidR="007E2302">
        <w:rPr>
          <w:rFonts w:ascii="Times New Roman" w:hAnsi="Times New Roman"/>
          <w:sz w:val="28"/>
          <w:szCs w:val="28"/>
        </w:rPr>
        <w:t xml:space="preserve"> ноября </w:t>
      </w:r>
      <w:r w:rsidRPr="003B7706">
        <w:rPr>
          <w:rFonts w:ascii="Times New Roman" w:hAnsi="Times New Roman"/>
          <w:sz w:val="28"/>
          <w:szCs w:val="28"/>
        </w:rPr>
        <w:t xml:space="preserve">2023 г. № </w:t>
      </w:r>
      <w:r w:rsidR="007E2302">
        <w:rPr>
          <w:rFonts w:ascii="Times New Roman" w:hAnsi="Times New Roman"/>
          <w:sz w:val="28"/>
          <w:szCs w:val="28"/>
        </w:rPr>
        <w:t>135</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proofErr w:type="spellStart"/>
      <w:r w:rsidR="00B33DA6" w:rsidRPr="00B33DA6">
        <w:rPr>
          <w:i w:val="0"/>
          <w:sz w:val="28"/>
          <w:szCs w:val="28"/>
        </w:rPr>
        <w:t>Верхнекарачанского</w:t>
      </w:r>
      <w:proofErr w:type="spellEnd"/>
      <w:r w:rsidR="00F73DE8" w:rsidRPr="003B7706">
        <w:rPr>
          <w:i w:val="0"/>
          <w:sz w:val="28"/>
          <w:szCs w:val="28"/>
        </w:rPr>
        <w:t xml:space="preserve"> 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proofErr w:type="spellStart"/>
      <w:r w:rsidR="00B33DA6" w:rsidRPr="00B33DA6">
        <w:rPr>
          <w:sz w:val="28"/>
          <w:szCs w:val="28"/>
        </w:rPr>
        <w:t>Верхнекарачанского</w:t>
      </w:r>
      <w:proofErr w:type="spellEnd"/>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proofErr w:type="spellStart"/>
      <w:r w:rsidR="00B33DA6" w:rsidRPr="00B33DA6">
        <w:rPr>
          <w:sz w:val="28"/>
          <w:szCs w:val="28"/>
        </w:rPr>
        <w:t>Верхнекарачанского</w:t>
      </w:r>
      <w:proofErr w:type="spellEnd"/>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proofErr w:type="spellStart"/>
      <w:r w:rsidR="00B33DA6" w:rsidRPr="00B33DA6">
        <w:rPr>
          <w:sz w:val="28"/>
          <w:szCs w:val="28"/>
        </w:rPr>
        <w:t>Верхнекарачанского</w:t>
      </w:r>
      <w:proofErr w:type="spellEnd"/>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3.2. На официаль</w:t>
      </w:r>
      <w:r w:rsidR="00B33DA6">
        <w:rPr>
          <w:rFonts w:ascii="Times New Roman" w:hAnsi="Times New Roman"/>
          <w:sz w:val="28"/>
          <w:szCs w:val="28"/>
        </w:rPr>
        <w:t>ном сайте Администрации (</w:t>
      </w:r>
      <w:hyperlink r:id="rId9" w:history="1">
        <w:r w:rsidR="00D37AEA" w:rsidRPr="00566B54">
          <w:rPr>
            <w:rStyle w:val="af"/>
            <w:rFonts w:ascii="Times New Roman" w:hAnsi="Times New Roman"/>
            <w:sz w:val="28"/>
            <w:szCs w:val="28"/>
          </w:rPr>
          <w:t>https://verhkar-grib.ru</w:t>
        </w:r>
      </w:hyperlink>
      <w:proofErr w:type="gramStart"/>
      <w:r w:rsidR="00D37AEA">
        <w:rPr>
          <w:rFonts w:ascii="Times New Roman" w:hAnsi="Times New Roman"/>
          <w:sz w:val="28"/>
          <w:szCs w:val="28"/>
        </w:rPr>
        <w:t xml:space="preserve">  </w:t>
      </w:r>
      <w:r w:rsidRPr="003B7706">
        <w:rPr>
          <w:rFonts w:ascii="Times New Roman" w:hAnsi="Times New Roman"/>
          <w:sz w:val="28"/>
          <w:szCs w:val="28"/>
        </w:rPr>
        <w:t>)</w:t>
      </w:r>
      <w:proofErr w:type="gramEnd"/>
      <w:r w:rsidRPr="003B77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1"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1"/>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proofErr w:type="spellStart"/>
      <w:r w:rsidR="00D37AEA">
        <w:rPr>
          <w:rFonts w:ascii="Times New Roman" w:hAnsi="Times New Roman"/>
          <w:sz w:val="28"/>
          <w:szCs w:val="28"/>
        </w:rPr>
        <w:t>Верхнекарачанского</w:t>
      </w:r>
      <w:proofErr w:type="spellEnd"/>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proofErr w:type="spellStart"/>
      <w:r w:rsidR="00D37AEA" w:rsidRPr="00D37AEA">
        <w:rPr>
          <w:rFonts w:ascii="Times New Roman" w:hAnsi="Times New Roman"/>
          <w:sz w:val="28"/>
          <w:szCs w:val="28"/>
        </w:rPr>
        <w:t>Верхнекарачанского</w:t>
      </w:r>
      <w:proofErr w:type="spellEnd"/>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D37AEA" w:rsidRPr="00D37AEA">
        <w:rPr>
          <w:rFonts w:ascii="Times New Roman" w:hAnsi="Times New Roman"/>
          <w:sz w:val="28"/>
          <w:szCs w:val="28"/>
        </w:rPr>
        <w:t>Верхнекарачанского</w:t>
      </w:r>
      <w:proofErr w:type="spellEnd"/>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w:t>
      </w:r>
      <w:r w:rsidR="00D37AEA" w:rsidRPr="00D37AEA">
        <w:rPr>
          <w:sz w:val="28"/>
          <w:szCs w:val="28"/>
        </w:rPr>
        <w:t>verhkar-grib.ru/index.php/ct-menu-item-36/ct-menu-item-60/ct-menu-item-62</w:t>
      </w:r>
      <w:r w:rsidR="00F7504A" w:rsidRPr="003B7706">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w:t>
      </w:r>
      <w:proofErr w:type="gramStart"/>
      <w:r w:rsidRPr="003B7706">
        <w:rPr>
          <w:rFonts w:ascii="Times New Roman" w:hAnsi="Times New Roman" w:cs="Times New Roman"/>
          <w:sz w:val="28"/>
          <w:szCs w:val="28"/>
        </w:rPr>
        <w:t>,</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16.2. В случае</w:t>
      </w:r>
      <w:proofErr w:type="gramStart"/>
      <w:r w:rsidRPr="003B7706">
        <w:rPr>
          <w:rFonts w:ascii="Times New Roman" w:hAnsi="Times New Roman"/>
          <w:sz w:val="28"/>
          <w:szCs w:val="28"/>
        </w:rPr>
        <w:t>,</w:t>
      </w:r>
      <w:proofErr w:type="gramEnd"/>
      <w:r w:rsidRPr="003B770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spellStart"/>
      <w:r w:rsidRPr="003B7706">
        <w:rPr>
          <w:rFonts w:ascii="Times New Roman" w:hAnsi="Times New Roman"/>
          <w:sz w:val="28"/>
          <w:szCs w:val="28"/>
          <w:lang w:val="en-US"/>
        </w:rPr>
        <w:t>pdf</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В случае</w:t>
      </w:r>
      <w:proofErr w:type="gramStart"/>
      <w:r w:rsidRPr="003B7706">
        <w:rPr>
          <w:rFonts w:ascii="Times New Roman" w:eastAsiaTheme="minorHAnsi" w:hAnsi="Times New Roman"/>
          <w:sz w:val="28"/>
          <w:szCs w:val="28"/>
          <w:lang w:eastAsia="en-US"/>
        </w:rPr>
        <w:t>,</w:t>
      </w:r>
      <w:proofErr w:type="gramEnd"/>
      <w:r w:rsidRPr="003B7706">
        <w:rPr>
          <w:rFonts w:ascii="Times New Roman" w:eastAsiaTheme="minorHAnsi" w:hAnsi="Times New Roman"/>
          <w:sz w:val="28"/>
          <w:szCs w:val="28"/>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proofErr w:type="spellStart"/>
      <w:r w:rsidR="00D37AEA">
        <w:rPr>
          <w:rFonts w:ascii="Times New Roman" w:hAnsi="Times New Roman"/>
          <w:bCs/>
          <w:sz w:val="28"/>
          <w:szCs w:val="28"/>
        </w:rPr>
        <w:t>Верхнекарачанского</w:t>
      </w:r>
      <w:proofErr w:type="spellEnd"/>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proofErr w:type="spellStart"/>
      <w:r w:rsidR="00D37AEA" w:rsidRPr="00D37AEA">
        <w:rPr>
          <w:rFonts w:ascii="Times New Roman" w:hAnsi="Times New Roman"/>
          <w:bCs/>
          <w:sz w:val="28"/>
          <w:szCs w:val="28"/>
        </w:rPr>
        <w:t>Верхнекарачанского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proofErr w:type="spellStart"/>
      <w:r w:rsidR="00D37AEA" w:rsidRPr="00D37AEA">
        <w:rPr>
          <w:rFonts w:ascii="Times New Roman" w:hAnsi="Times New Roman"/>
          <w:bCs/>
          <w:sz w:val="28"/>
          <w:szCs w:val="28"/>
        </w:rPr>
        <w:t>Верхнекарачанского</w:t>
      </w:r>
      <w:proofErr w:type="spellEnd"/>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3B7706">
        <w:rPr>
          <w:rFonts w:ascii="Times New Roman" w:hAnsi="Times New Roman"/>
          <w:bCs/>
          <w:sz w:val="28"/>
          <w:szCs w:val="28"/>
        </w:rPr>
        <w:t xml:space="preserve">главой </w:t>
      </w:r>
      <w:proofErr w:type="spellStart"/>
      <w:r w:rsidR="00D37AEA" w:rsidRPr="00D37AEA">
        <w:rPr>
          <w:rFonts w:ascii="Times New Roman" w:hAnsi="Times New Roman"/>
          <w:bCs/>
          <w:sz w:val="28"/>
          <w:szCs w:val="28"/>
        </w:rPr>
        <w:t>Верхнекарачанского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proofErr w:type="spellStart"/>
      <w:r w:rsidR="00D37AEA" w:rsidRPr="00D37AEA">
        <w:rPr>
          <w:rFonts w:ascii="Times New Roman" w:hAnsi="Times New Roman"/>
          <w:bCs/>
          <w:sz w:val="28"/>
          <w:szCs w:val="28"/>
        </w:rPr>
        <w:t>Верхнекарачанского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proofErr w:type="spellStart"/>
      <w:r w:rsidR="00D37AEA" w:rsidRPr="00D37AEA">
        <w:rPr>
          <w:rFonts w:ascii="Times New Roman" w:hAnsi="Times New Roman"/>
          <w:bCs/>
          <w:sz w:val="28"/>
          <w:szCs w:val="28"/>
        </w:rPr>
        <w:t>Верхнекарачанского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proofErr w:type="spellStart"/>
      <w:r w:rsidR="00D37AEA" w:rsidRPr="00D37AEA">
        <w:rPr>
          <w:rFonts w:ascii="Times New Roman" w:hAnsi="Times New Roman"/>
          <w:bCs/>
          <w:sz w:val="28"/>
          <w:szCs w:val="28"/>
        </w:rPr>
        <w:t>Верхнекарачанского</w:t>
      </w:r>
      <w:proofErr w:type="spellEnd"/>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lastRenderedPageBreak/>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proofErr w:type="spellStart"/>
      <w:r w:rsidR="00672FE8" w:rsidRPr="00672FE8">
        <w:rPr>
          <w:bCs/>
          <w:sz w:val="28"/>
          <w:szCs w:val="28"/>
        </w:rPr>
        <w:t>Верхнекарачанского</w:t>
      </w:r>
      <w:proofErr w:type="spellEnd"/>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672FE8" w:rsidRPr="00672FE8">
        <w:rPr>
          <w:bCs/>
          <w:sz w:val="28"/>
          <w:szCs w:val="28"/>
        </w:rPr>
        <w:t>Верхнекарачанского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7706">
        <w:rPr>
          <w:rFonts w:ascii="Times New Roman" w:hAnsi="Times New Roman"/>
          <w:sz w:val="28"/>
          <w:szCs w:val="28"/>
        </w:rPr>
        <w:t>неудобства</w:t>
      </w:r>
      <w:proofErr w:type="gramEnd"/>
      <w:r w:rsidRPr="003B770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НУЖДАЮЩИХСЯ В ЖИЛЫХ 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961942">
      <w:headerReference w:type="default" r:id="rId11"/>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6" w:rsidRDefault="00B33DA6" w:rsidP="009476CE">
      <w:r>
        <w:separator/>
      </w:r>
    </w:p>
  </w:endnote>
  <w:endnote w:type="continuationSeparator" w:id="0">
    <w:p w:rsidR="00B33DA6" w:rsidRDefault="00B33DA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6" w:rsidRDefault="00B33DA6" w:rsidP="009476CE">
      <w:r>
        <w:separator/>
      </w:r>
    </w:p>
  </w:footnote>
  <w:footnote w:type="continuationSeparator" w:id="0">
    <w:p w:rsidR="00B33DA6" w:rsidRDefault="00B33DA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33DA6" w:rsidRDefault="00B33DA6">
        <w:pPr>
          <w:pStyle w:val="a9"/>
          <w:jc w:val="center"/>
        </w:pPr>
        <w:r>
          <w:fldChar w:fldCharType="begin"/>
        </w:r>
        <w:r>
          <w:instrText>PAGE   \* MERGEFORMAT</w:instrText>
        </w:r>
        <w:r>
          <w:fldChar w:fldCharType="separate"/>
        </w:r>
        <w:r w:rsidR="007E2302">
          <w:rPr>
            <w:noProof/>
          </w:rPr>
          <w:t>2</w:t>
        </w:r>
        <w:r>
          <w:fldChar w:fldCharType="end"/>
        </w:r>
      </w:p>
    </w:sdtContent>
  </w:sdt>
  <w:p w:rsidR="00B33DA6" w:rsidRDefault="00B33D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2FE8"/>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2302"/>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33DA6"/>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8790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37AEA"/>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verhkar-gr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878D-F37F-4A4D-B5A2-E7F72C3B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52</Pages>
  <Words>16463</Words>
  <Characters>93842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Admin1</cp:lastModifiedBy>
  <cp:revision>148</cp:revision>
  <cp:lastPrinted>2023-06-17T12:55:00Z</cp:lastPrinted>
  <dcterms:created xsi:type="dcterms:W3CDTF">2023-03-19T09:11:00Z</dcterms:created>
  <dcterms:modified xsi:type="dcterms:W3CDTF">2023-11-01T15:03:00Z</dcterms:modified>
</cp:coreProperties>
</file>