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D4" w:rsidRPr="000B61D4" w:rsidRDefault="000B61D4" w:rsidP="000B61D4">
      <w:pPr>
        <w:widowControl/>
        <w:ind w:firstLine="709"/>
        <w:jc w:val="right"/>
        <w:rPr>
          <w:rFonts w:ascii="Times New Roman" w:eastAsia="Times New Roman" w:hAnsi="Times New Roman" w:cs="Times New Roman"/>
          <w:b/>
          <w:color w:val="auto"/>
          <w:sz w:val="28"/>
          <w:szCs w:val="28"/>
          <w:lang w:bidi="ar-SA"/>
        </w:rPr>
      </w:pPr>
      <w:r w:rsidRPr="000B61D4">
        <w:rPr>
          <w:rFonts w:ascii="Times New Roman" w:eastAsia="Times New Roman" w:hAnsi="Times New Roman" w:cs="Times New Roman"/>
          <w:b/>
          <w:color w:val="auto"/>
          <w:sz w:val="28"/>
          <w:szCs w:val="28"/>
          <w:lang w:bidi="ar-SA"/>
        </w:rPr>
        <w:t xml:space="preserve">ПРОЕКТ </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6852A5"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ВЕРХНЕКАРАЧАНСКОЕ</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bookmarkStart w:id="0" w:name="_GoBack"/>
      <w:bookmarkEnd w:id="0"/>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6852A5"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 Верхний Карачан</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6852A5">
        <w:rPr>
          <w:rFonts w:ascii="Times New Roman" w:hAnsi="Times New Roman" w:cs="Times New Roman"/>
          <w:b w:val="0"/>
          <w:sz w:val="28"/>
          <w:szCs w:val="28"/>
        </w:rPr>
        <w:t>07» 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6852A5">
        <w:rPr>
          <w:rFonts w:ascii="Times New Roman" w:hAnsi="Times New Roman" w:cs="Times New Roman"/>
          <w:b w:val="0"/>
          <w:sz w:val="28"/>
          <w:szCs w:val="28"/>
        </w:rPr>
        <w:t>89</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6852A5">
        <w:rPr>
          <w:rFonts w:ascii="Times New Roman" w:hAnsi="Times New Roman" w:cs="Times New Roman"/>
          <w:b w:val="0"/>
          <w:sz w:val="28"/>
          <w:szCs w:val="28"/>
        </w:rPr>
        <w:t>14</w:t>
      </w:r>
      <w:r w:rsidRPr="00D238E8">
        <w:rPr>
          <w:rFonts w:ascii="Times New Roman" w:hAnsi="Times New Roman" w:cs="Times New Roman"/>
          <w:b w:val="0"/>
          <w:sz w:val="28"/>
          <w:szCs w:val="28"/>
        </w:rPr>
        <w:t>»</w:t>
      </w:r>
      <w:r w:rsidR="006852A5">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6852A5">
        <w:rPr>
          <w:rFonts w:ascii="Times New Roman" w:hAnsi="Times New Roman" w:cs="Times New Roman"/>
          <w:b w:val="0"/>
          <w:sz w:val="28"/>
          <w:szCs w:val="28"/>
        </w:rPr>
        <w:t xml:space="preserve"> 28</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852A5">
        <w:rPr>
          <w:rFonts w:ascii="Times New Roman" w:hAnsi="Times New Roman" w:cs="Times New Roman"/>
          <w:b w:val="0"/>
          <w:sz w:val="28"/>
          <w:szCs w:val="28"/>
        </w:rPr>
        <w:t>07.09</w:t>
      </w:r>
      <w:r w:rsidR="0057577E" w:rsidRPr="00D238E8">
        <w:rPr>
          <w:rFonts w:ascii="Times New Roman" w:hAnsi="Times New Roman" w:cs="Times New Roman"/>
          <w:b w:val="0"/>
          <w:sz w:val="28"/>
          <w:szCs w:val="28"/>
        </w:rPr>
        <w:t xml:space="preserve">. 2020 № </w:t>
      </w:r>
      <w:r w:rsidR="006852A5">
        <w:rPr>
          <w:rFonts w:ascii="Times New Roman" w:hAnsi="Times New Roman" w:cs="Times New Roman"/>
          <w:b w:val="0"/>
          <w:sz w:val="28"/>
          <w:szCs w:val="28"/>
        </w:rPr>
        <w:t>89</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6852A5" w:rsidRDefault="006852A5" w:rsidP="00D238E8">
            <w:pPr>
              <w:ind w:firstLine="709"/>
              <w:jc w:val="both"/>
              <w:rPr>
                <w:rFonts w:ascii="Times New Roman" w:hAnsi="Times New Roman" w:cs="Times New Roman"/>
                <w:color w:val="auto"/>
                <w:sz w:val="28"/>
                <w:szCs w:val="28"/>
              </w:rPr>
            </w:pPr>
          </w:p>
          <w:p w:rsidR="004A0254" w:rsidRPr="00D238E8" w:rsidRDefault="006852A5"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Е.В. Степанищева</w:t>
            </w:r>
            <w:r w:rsid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852A5" w:rsidP="00D238E8">
      <w:pPr>
        <w:ind w:firstLine="709"/>
        <w:jc w:val="right"/>
        <w:rPr>
          <w:rFonts w:ascii="Times New Roman" w:eastAsia="Times New Roman" w:hAnsi="Times New Roman" w:cs="Times New Roman"/>
          <w:bCs/>
          <w:kern w:val="28"/>
          <w:sz w:val="28"/>
          <w:szCs w:val="28"/>
        </w:rPr>
      </w:pPr>
      <w:proofErr w:type="spellStart"/>
      <w:r w:rsidRPr="006852A5">
        <w:rPr>
          <w:rFonts w:ascii="Times New Roman" w:hAnsi="Times New Roman" w:cs="Times New Roman"/>
          <w:sz w:val="28"/>
          <w:szCs w:val="28"/>
        </w:rPr>
        <w:t>Верхнекарачанского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6852A5" w:rsidRPr="006852A5">
        <w:rPr>
          <w:b/>
          <w:i w:val="0"/>
          <w:sz w:val="28"/>
          <w:szCs w:val="28"/>
        </w:rPr>
        <w:t>Верхнекарачанского</w:t>
      </w:r>
      <w:proofErr w:type="spellEnd"/>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proofErr w:type="spellStart"/>
      <w:r w:rsidR="006852A5" w:rsidRPr="006852A5">
        <w:t>Верхнекарачанского</w:t>
      </w:r>
      <w:proofErr w:type="spellEnd"/>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6852A5" w:rsidRPr="006852A5">
        <w:rPr>
          <w:rFonts w:ascii="Times New Roman" w:hAnsi="Times New Roman" w:cs="Times New Roman"/>
          <w:sz w:val="28"/>
          <w:szCs w:val="28"/>
        </w:rPr>
        <w:t>Верхнекарачанского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proofErr w:type="spellStart"/>
      <w:r w:rsidR="006852A5" w:rsidRPr="006852A5">
        <w:rPr>
          <w:rFonts w:ascii="Times New Roman" w:hAnsi="Times New Roman" w:cs="Times New Roman"/>
          <w:spacing w:val="7"/>
          <w:sz w:val="28"/>
          <w:szCs w:val="28"/>
        </w:rPr>
        <w:t>Верхнекарачанского</w:t>
      </w:r>
      <w:proofErr w:type="spellEnd"/>
      <w:r w:rsidRPr="00D238E8">
        <w:rPr>
          <w:rFonts w:ascii="Times New Roman" w:hAnsi="Times New Roman" w:cs="Times New Roman"/>
          <w:spacing w:val="7"/>
          <w:sz w:val="28"/>
          <w:szCs w:val="28"/>
        </w:rPr>
        <w:t xml:space="preserve"> (http://</w:t>
      </w:r>
      <w:r w:rsidR="006852A5" w:rsidRPr="006852A5">
        <w:t xml:space="preserve"> </w:t>
      </w:r>
      <w:r w:rsidR="006852A5">
        <w:rPr>
          <w:rFonts w:ascii="Times New Roman" w:hAnsi="Times New Roman" w:cs="Times New Roman"/>
          <w:spacing w:val="7"/>
          <w:sz w:val="28"/>
          <w:szCs w:val="28"/>
        </w:rPr>
        <w:t>verhkar-grib.ru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proofErr w:type="spellStart"/>
      <w:r w:rsidR="006852A5" w:rsidRPr="006852A5">
        <w:t>Верхнекарачанского</w:t>
      </w:r>
      <w:proofErr w:type="spellEnd"/>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proofErr w:type="spellStart"/>
      <w:r w:rsidR="006852A5" w:rsidRPr="006852A5">
        <w:rPr>
          <w:rFonts w:ascii="Times New Roman" w:hAnsi="Times New Roman" w:cs="Times New Roman"/>
          <w:sz w:val="28"/>
          <w:szCs w:val="28"/>
        </w:rPr>
        <w:t>Верхнекарачанского</w:t>
      </w:r>
      <w:proofErr w:type="spellEnd"/>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6852A5" w:rsidRPr="006852A5">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3B0E54" w:rsidRPr="003B0E54">
        <w:t xml:space="preserve"> </w:t>
      </w:r>
      <w:r w:rsidR="003B0E54">
        <w:rPr>
          <w:sz w:val="28"/>
          <w:szCs w:val="28"/>
        </w:rPr>
        <w:t>verhkar-grib.ru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proofErr w:type="spellStart"/>
      <w:r w:rsidR="006852A5" w:rsidRPr="006852A5">
        <w:rPr>
          <w:rFonts w:ascii="Times New Roman" w:hAnsi="Times New Roman" w:cs="Times New Roman"/>
          <w:sz w:val="28"/>
          <w:szCs w:val="28"/>
        </w:rPr>
        <w:t>Верхнекарачанского</w:t>
      </w:r>
      <w:proofErr w:type="spellEnd"/>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proofErr w:type="spellStart"/>
      <w:r w:rsidR="006852A5">
        <w:rPr>
          <w:rFonts w:ascii="Times New Roman" w:hAnsi="Times New Roman"/>
          <w:sz w:val="28"/>
          <w:szCs w:val="28"/>
        </w:rPr>
        <w:t>Верхнекарачанского</w:t>
      </w:r>
      <w:proofErr w:type="spellEnd"/>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6852A5" w:rsidRPr="006852A5">
        <w:t>Верхнекарачанского</w:t>
      </w:r>
      <w:proofErr w:type="spellEnd"/>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6852A5" w:rsidRPr="006852A5">
        <w:rPr>
          <w:sz w:val="28"/>
          <w:szCs w:val="28"/>
        </w:rPr>
        <w:t>Верхнекарачанского</w:t>
      </w:r>
      <w:proofErr w:type="spellEnd"/>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38E8">
        <w:rPr>
          <w:rFonts w:ascii="Times New Roman" w:hAnsi="Times New Roman" w:cs="Times New Roman"/>
          <w:color w:val="auto"/>
          <w:sz w:val="28"/>
          <w:szCs w:val="28"/>
        </w:rPr>
        <w:lastRenderedPageBreak/>
        <w:t>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w:t>
      </w:r>
      <w:r w:rsidRPr="00D238E8">
        <w:rPr>
          <w:rFonts w:ascii="Times New Roman" w:hAnsi="Times New Roman" w:cs="Times New Roman"/>
          <w:color w:val="auto"/>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5" w:rsidRDefault="006852A5">
      <w:r>
        <w:separator/>
      </w:r>
    </w:p>
  </w:endnote>
  <w:endnote w:type="continuationSeparator" w:id="0">
    <w:p w:rsidR="006852A5" w:rsidRDefault="0068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5" w:rsidRDefault="006852A5">
      <w:r>
        <w:separator/>
      </w:r>
    </w:p>
  </w:footnote>
  <w:footnote w:type="continuationSeparator" w:id="0">
    <w:p w:rsidR="006852A5" w:rsidRDefault="0068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6852A5" w:rsidRDefault="006852A5">
        <w:pPr>
          <w:pStyle w:val="af5"/>
          <w:jc w:val="center"/>
        </w:pPr>
        <w:r>
          <w:fldChar w:fldCharType="begin"/>
        </w:r>
        <w:r>
          <w:instrText>PAGE   \* MERGEFORMAT</w:instrText>
        </w:r>
        <w:r>
          <w:fldChar w:fldCharType="separate"/>
        </w:r>
        <w:r w:rsidR="000B61D4">
          <w:rPr>
            <w:noProof/>
          </w:rPr>
          <w:t>3</w:t>
        </w:r>
        <w:r>
          <w:fldChar w:fldCharType="end"/>
        </w:r>
      </w:p>
    </w:sdtContent>
  </w:sdt>
  <w:p w:rsidR="006852A5" w:rsidRDefault="006852A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5" w:rsidRDefault="006852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5" w:rsidRDefault="006852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B61D4"/>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B0E54"/>
    <w:rsid w:val="003E7F4F"/>
    <w:rsid w:val="00421A7F"/>
    <w:rsid w:val="00450442"/>
    <w:rsid w:val="004773E4"/>
    <w:rsid w:val="00495257"/>
    <w:rsid w:val="004A0254"/>
    <w:rsid w:val="004A451A"/>
    <w:rsid w:val="004A6F42"/>
    <w:rsid w:val="004C78BB"/>
    <w:rsid w:val="004F6F7F"/>
    <w:rsid w:val="0057577E"/>
    <w:rsid w:val="005F7140"/>
    <w:rsid w:val="006852A5"/>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8CF0-3B59-4A08-9F0C-948679C6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55</Pages>
  <Words>17798</Words>
  <Characters>101453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Людмила</cp:lastModifiedBy>
  <cp:revision>70</cp:revision>
  <dcterms:created xsi:type="dcterms:W3CDTF">2023-05-21T20:46:00Z</dcterms:created>
  <dcterms:modified xsi:type="dcterms:W3CDTF">2023-09-07T07:48:00Z</dcterms:modified>
</cp:coreProperties>
</file>